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564" w:rsidRDefault="003E0564">
      <w:pPr>
        <w:tabs>
          <w:tab w:val="left" w:pos="567"/>
        </w:tabs>
        <w:rPr>
          <w:rFonts w:ascii="Arial" w:hAnsi="Arial" w:cs="Arial"/>
          <w:sz w:val="22"/>
          <w:szCs w:val="22"/>
        </w:rPr>
      </w:pPr>
      <w:bookmarkStart w:id="0" w:name="_GoBack"/>
      <w:bookmarkEnd w:id="0"/>
    </w:p>
    <w:tbl>
      <w:tblPr>
        <w:tblW w:w="10712" w:type="dxa"/>
        <w:tblInd w:w="108" w:type="dxa"/>
        <w:tblLook w:val="01E0"/>
      </w:tblPr>
      <w:tblGrid>
        <w:gridCol w:w="2420"/>
        <w:gridCol w:w="6508"/>
        <w:gridCol w:w="1784"/>
      </w:tblGrid>
      <w:tr w:rsidR="003E0564">
        <w:trPr>
          <w:trHeight w:val="1079"/>
        </w:trPr>
        <w:tc>
          <w:tcPr>
            <w:tcW w:w="2420" w:type="dxa"/>
            <w:vAlign w:val="center"/>
          </w:tcPr>
          <w:p w:rsidR="003E0564" w:rsidRDefault="0026379A">
            <w:pPr>
              <w:pStyle w:val="Titre8"/>
              <w:rPr>
                <w:rFonts w:ascii="Arial" w:hAnsi="Arial" w:cs="Arial"/>
                <w:sz w:val="24"/>
                <w:szCs w:val="24"/>
              </w:rPr>
            </w:pPr>
            <w:r>
              <w:rPr>
                <w:rFonts w:ascii="Arial" w:hAnsi="Arial" w:cs="Arial"/>
                <w:noProof/>
                <w:sz w:val="24"/>
                <w:szCs w:val="24"/>
              </w:rPr>
              <w:drawing>
                <wp:inline distT="0" distB="0" distL="0" distR="0">
                  <wp:extent cx="1009650" cy="497840"/>
                  <wp:effectExtent l="19050" t="0" r="0" b="0"/>
                  <wp:docPr id="1" name="Image 1" descr="log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region"/>
                          <pic:cNvPicPr>
                            <a:picLocks noChangeAspect="1" noChangeArrowheads="1"/>
                          </pic:cNvPicPr>
                        </pic:nvPicPr>
                        <pic:blipFill>
                          <a:blip r:embed="rId8" cstate="print"/>
                          <a:srcRect/>
                          <a:stretch>
                            <a:fillRect/>
                          </a:stretch>
                        </pic:blipFill>
                        <pic:spPr bwMode="auto">
                          <a:xfrm>
                            <a:off x="0" y="0"/>
                            <a:ext cx="1009650" cy="497840"/>
                          </a:xfrm>
                          <a:prstGeom prst="rect">
                            <a:avLst/>
                          </a:prstGeom>
                          <a:noFill/>
                          <a:ln w="9525">
                            <a:noFill/>
                            <a:miter lim="800000"/>
                            <a:headEnd/>
                            <a:tailEnd/>
                          </a:ln>
                        </pic:spPr>
                      </pic:pic>
                    </a:graphicData>
                  </a:graphic>
                </wp:inline>
              </w:drawing>
            </w:r>
          </w:p>
        </w:tc>
        <w:tc>
          <w:tcPr>
            <w:tcW w:w="6508" w:type="dxa"/>
            <w:vAlign w:val="center"/>
          </w:tcPr>
          <w:p w:rsidR="003E0564" w:rsidRDefault="0026379A">
            <w:pPr>
              <w:pStyle w:val="Titre8"/>
              <w:rPr>
                <w:rFonts w:ascii="Arial" w:hAnsi="Arial" w:cs="Arial"/>
                <w:sz w:val="20"/>
                <w:szCs w:val="20"/>
              </w:rPr>
            </w:pPr>
            <w:r>
              <w:rPr>
                <w:rFonts w:ascii="Arial" w:hAnsi="Arial" w:cs="Arial"/>
                <w:sz w:val="20"/>
                <w:szCs w:val="20"/>
              </w:rPr>
              <w:t>Direction de l’Economie Régionale, de l’Innovation et de l’Enseignement Supérieur</w:t>
            </w:r>
          </w:p>
          <w:p w:rsidR="003E0564" w:rsidRDefault="0026379A">
            <w:pPr>
              <w:rPr>
                <w:sz w:val="20"/>
                <w:szCs w:val="20"/>
              </w:rPr>
            </w:pPr>
            <w:r>
              <w:rPr>
                <w:rFonts w:ascii="Arial" w:hAnsi="Arial" w:cs="Arial"/>
                <w:sz w:val="20"/>
                <w:szCs w:val="20"/>
              </w:rPr>
              <w:t>Service « Enseignement Supérieur – Technologies – Recherche »</w:t>
            </w:r>
          </w:p>
        </w:tc>
        <w:tc>
          <w:tcPr>
            <w:tcW w:w="1784" w:type="dxa"/>
            <w:vAlign w:val="center"/>
          </w:tcPr>
          <w:p w:rsidR="003E0564" w:rsidRDefault="003E0564">
            <w:pPr>
              <w:jc w:val="center"/>
            </w:pPr>
          </w:p>
          <w:p w:rsidR="003E0564" w:rsidRDefault="003E0564">
            <w:pPr>
              <w:pStyle w:val="Titre8"/>
              <w:rPr>
                <w:rFonts w:ascii="Arial" w:hAnsi="Arial" w:cs="Arial"/>
                <w:sz w:val="24"/>
                <w:szCs w:val="24"/>
              </w:rPr>
            </w:pPr>
          </w:p>
        </w:tc>
      </w:tr>
    </w:tbl>
    <w:p w:rsidR="003E0564" w:rsidRDefault="003E0564">
      <w:pPr>
        <w:rPr>
          <w:rFonts w:ascii="Arial" w:hAnsi="Arial" w:cs="Arial"/>
        </w:rPr>
      </w:pPr>
    </w:p>
    <w:p w:rsidR="003E0564" w:rsidRDefault="003E0564">
      <w:pPr>
        <w:pStyle w:val="Corpsdetexte3"/>
        <w:pBdr>
          <w:top w:val="single" w:sz="4" w:space="1" w:color="auto"/>
          <w:left w:val="single" w:sz="4" w:space="4" w:color="auto"/>
          <w:bottom w:val="single" w:sz="4" w:space="1" w:color="auto"/>
          <w:right w:val="single" w:sz="4" w:space="4" w:color="auto"/>
        </w:pBdr>
        <w:rPr>
          <w:rFonts w:ascii="Arial" w:hAnsi="Arial" w:cs="Arial"/>
          <w:smallCaps w:val="0"/>
          <w:sz w:val="10"/>
          <w:szCs w:val="10"/>
        </w:rPr>
      </w:pPr>
    </w:p>
    <w:p w:rsidR="003E0564" w:rsidRDefault="0026379A">
      <w:pPr>
        <w:pStyle w:val="Corpsdetexte3"/>
        <w:pBdr>
          <w:top w:val="single" w:sz="4" w:space="1" w:color="auto"/>
          <w:left w:val="single" w:sz="4" w:space="4" w:color="auto"/>
          <w:bottom w:val="single" w:sz="4" w:space="1" w:color="auto"/>
          <w:right w:val="single" w:sz="4" w:space="4" w:color="auto"/>
        </w:pBdr>
        <w:rPr>
          <w:rFonts w:ascii="Arial" w:hAnsi="Arial" w:cs="Arial"/>
          <w:smallCaps w:val="0"/>
          <w:sz w:val="24"/>
          <w:szCs w:val="24"/>
        </w:rPr>
      </w:pPr>
      <w:r>
        <w:rPr>
          <w:rFonts w:ascii="Arial" w:hAnsi="Arial" w:cs="Arial"/>
          <w:smallCaps w:val="0"/>
          <w:sz w:val="24"/>
          <w:szCs w:val="24"/>
        </w:rPr>
        <w:t>APPEL À PROJETS OUVERTS - ANNÉE 2014</w:t>
      </w:r>
    </w:p>
    <w:p w:rsidR="003E0564" w:rsidRDefault="003E0564">
      <w:pPr>
        <w:pStyle w:val="Corpsdetexte3"/>
        <w:pBdr>
          <w:top w:val="single" w:sz="4" w:space="1" w:color="auto"/>
          <w:left w:val="single" w:sz="4" w:space="4" w:color="auto"/>
          <w:bottom w:val="single" w:sz="4" w:space="1" w:color="auto"/>
          <w:right w:val="single" w:sz="4" w:space="4" w:color="auto"/>
        </w:pBdr>
        <w:rPr>
          <w:rFonts w:ascii="Arial" w:hAnsi="Arial" w:cs="Arial"/>
          <w:smallCaps w:val="0"/>
          <w:sz w:val="2"/>
          <w:szCs w:val="2"/>
        </w:rPr>
      </w:pPr>
    </w:p>
    <w:p w:rsidR="003E0564" w:rsidRDefault="0026379A">
      <w:pPr>
        <w:pStyle w:val="Corpsdetexte3"/>
        <w:pBdr>
          <w:top w:val="single" w:sz="4" w:space="1" w:color="auto"/>
          <w:left w:val="single" w:sz="4" w:space="4" w:color="auto"/>
          <w:bottom w:val="single" w:sz="4" w:space="1" w:color="auto"/>
          <w:right w:val="single" w:sz="4" w:space="4" w:color="auto"/>
        </w:pBdr>
        <w:rPr>
          <w:rFonts w:ascii="Arial" w:hAnsi="Arial" w:cs="Arial"/>
          <w:smallCaps w:val="0"/>
          <w:sz w:val="24"/>
          <w:szCs w:val="24"/>
        </w:rPr>
      </w:pPr>
      <w:r>
        <w:rPr>
          <w:rFonts w:ascii="Arial" w:hAnsi="Arial" w:cs="Arial"/>
          <w:smallCaps w:val="0"/>
          <w:sz w:val="24"/>
          <w:szCs w:val="24"/>
        </w:rPr>
        <w:t>VOLET EXPLORATOIRE</w:t>
      </w:r>
    </w:p>
    <w:p w:rsidR="003E0564" w:rsidRDefault="003E0564">
      <w:pPr>
        <w:pStyle w:val="Corpsdetexte3"/>
        <w:pBdr>
          <w:top w:val="single" w:sz="4" w:space="1" w:color="auto"/>
          <w:left w:val="single" w:sz="4" w:space="4" w:color="auto"/>
          <w:bottom w:val="single" w:sz="4" w:space="1" w:color="auto"/>
          <w:right w:val="single" w:sz="4" w:space="4" w:color="auto"/>
        </w:pBdr>
        <w:rPr>
          <w:rFonts w:ascii="Arial" w:hAnsi="Arial" w:cs="Arial"/>
          <w:smallCaps w:val="0"/>
          <w:sz w:val="10"/>
          <w:szCs w:val="10"/>
        </w:rPr>
      </w:pPr>
    </w:p>
    <w:p w:rsidR="003E0564" w:rsidRDefault="003E0564">
      <w:pPr>
        <w:pStyle w:val="Corpsdetexte3"/>
        <w:rPr>
          <w:rFonts w:ascii="Arial" w:hAnsi="Arial" w:cs="Arial"/>
          <w:smallCaps w:val="0"/>
          <w:sz w:val="4"/>
          <w:szCs w:val="4"/>
        </w:rPr>
      </w:pPr>
    </w:p>
    <w:p w:rsidR="003E0564" w:rsidRDefault="0026379A">
      <w:pPr>
        <w:ind w:right="-177"/>
        <w:rPr>
          <w:rFonts w:ascii="Arial" w:hAnsi="Arial" w:cs="Arial"/>
          <w:i/>
          <w:iCs/>
          <w:sz w:val="20"/>
          <w:szCs w:val="20"/>
        </w:rPr>
      </w:pPr>
      <w:r>
        <w:rPr>
          <w:rFonts w:ascii="Arial" w:hAnsi="Arial" w:cs="Arial"/>
          <w:i/>
          <w:iCs/>
          <w:sz w:val="20"/>
          <w:szCs w:val="20"/>
        </w:rPr>
        <w:t>Remplir</w:t>
      </w:r>
      <w:r>
        <w:rPr>
          <w:rFonts w:ascii="Arial" w:hAnsi="Arial" w:cs="Arial"/>
          <w:i/>
          <w:iCs/>
          <w:sz w:val="20"/>
          <w:szCs w:val="20"/>
        </w:rPr>
        <w:t xml:space="preserve"> le formulaire en respectant les cadres imposés lorsqu’ils existent (fonte minimale autorisée 10 pt)</w:t>
      </w:r>
    </w:p>
    <w:p w:rsidR="003E0564" w:rsidRDefault="003E0564">
      <w:pPr>
        <w:rPr>
          <w:rFonts w:ascii="Arial" w:hAnsi="Arial" w:cs="Arial"/>
        </w:rPr>
      </w:pPr>
    </w:p>
    <w:p w:rsidR="003E0564" w:rsidRDefault="0026379A">
      <w:pPr>
        <w:rPr>
          <w:b/>
          <w:bCs/>
        </w:rPr>
      </w:pPr>
      <w:r>
        <w:rPr>
          <w:rFonts w:ascii="Arial" w:hAnsi="Arial" w:cs="Arial"/>
          <w:b/>
          <w:bCs/>
          <w:sz w:val="20"/>
          <w:szCs w:val="20"/>
        </w:rPr>
        <w:t xml:space="preserve">Intitulé du projet : </w:t>
      </w:r>
      <w:r>
        <w:rPr>
          <w:b/>
          <w:bCs/>
        </w:rPr>
        <w:t>Capteur de gaz électrochimique à base de zéolithes.</w:t>
      </w:r>
    </w:p>
    <w:p w:rsidR="003E0564" w:rsidRDefault="003E0564">
      <w:pPr>
        <w:rPr>
          <w:rFonts w:ascii="Arial" w:hAnsi="Arial" w:cs="Arial"/>
          <w:b/>
          <w:bCs/>
          <w:sz w:val="12"/>
          <w:szCs w:val="12"/>
        </w:rPr>
      </w:pPr>
    </w:p>
    <w:p w:rsidR="003E0564" w:rsidRDefault="0026379A">
      <w:pPr>
        <w:rPr>
          <w:rFonts w:ascii="Arial" w:hAnsi="Arial" w:cs="Arial"/>
          <w:b/>
          <w:bCs/>
          <w:sz w:val="20"/>
          <w:szCs w:val="20"/>
        </w:rPr>
      </w:pPr>
      <w:r>
        <w:rPr>
          <w:rFonts w:ascii="Arial" w:hAnsi="Arial" w:cs="Arial"/>
          <w:b/>
          <w:bCs/>
          <w:sz w:val="20"/>
          <w:szCs w:val="20"/>
        </w:rPr>
        <w:t>Acronyme : CAPEZ</w:t>
      </w:r>
    </w:p>
    <w:p w:rsidR="003E0564" w:rsidRDefault="003E0564">
      <w:pPr>
        <w:rPr>
          <w:rFonts w:ascii="Arial" w:hAnsi="Arial" w:cs="Arial"/>
          <w:b/>
          <w:bCs/>
          <w:sz w:val="12"/>
          <w:szCs w:val="12"/>
        </w:rPr>
      </w:pPr>
    </w:p>
    <w:p w:rsidR="003E0564" w:rsidRDefault="0026379A">
      <w:r>
        <w:rPr>
          <w:rFonts w:ascii="Arial" w:hAnsi="Arial" w:cs="Arial"/>
          <w:b/>
          <w:bCs/>
          <w:sz w:val="20"/>
          <w:szCs w:val="20"/>
        </w:rPr>
        <w:t xml:space="preserve">Mots clés </w:t>
      </w:r>
      <w:r>
        <w:rPr>
          <w:rFonts w:ascii="Arial" w:hAnsi="Arial" w:cs="Arial"/>
          <w:sz w:val="20"/>
          <w:szCs w:val="20"/>
        </w:rPr>
        <w:t xml:space="preserve">(5 maximum) : </w:t>
      </w:r>
      <w:r>
        <w:t xml:space="preserve">Electrochimie, Détecteurs, Zéolithes, </w:t>
      </w:r>
      <w:r>
        <w:t>Médecine, Diagnostics</w:t>
      </w:r>
    </w:p>
    <w:p w:rsidR="003E0564" w:rsidRDefault="003E0564">
      <w:pPr>
        <w:rPr>
          <w:rFonts w:ascii="Arial" w:hAnsi="Arial" w:cs="Arial"/>
          <w:sz w:val="20"/>
          <w:szCs w:val="20"/>
        </w:rPr>
      </w:pPr>
    </w:p>
    <w:p w:rsidR="003E0564" w:rsidRDefault="0026379A">
      <w:pPr>
        <w:rPr>
          <w:rFonts w:ascii="Arial" w:hAnsi="Arial" w:cs="Arial"/>
          <w:b/>
          <w:bCs/>
          <w:sz w:val="20"/>
          <w:szCs w:val="20"/>
        </w:rPr>
      </w:pPr>
      <w:r>
        <w:rPr>
          <w:rFonts w:ascii="Arial" w:hAnsi="Arial" w:cs="Arial"/>
          <w:b/>
          <w:bCs/>
          <w:sz w:val="20"/>
          <w:szCs w:val="20"/>
        </w:rPr>
        <w:t xml:space="preserve">Thématique concernée : </w:t>
      </w:r>
    </w:p>
    <w:p w:rsidR="003E0564" w:rsidRDefault="003E0564">
      <w:pPr>
        <w:rPr>
          <w:rFonts w:ascii="Arial" w:hAnsi="Arial" w:cs="Arial"/>
          <w:b/>
          <w:bCs/>
          <w:sz w:val="12"/>
          <w:szCs w:val="12"/>
        </w:rPr>
      </w:pPr>
    </w:p>
    <w:p w:rsidR="003E0564" w:rsidRDefault="0026379A">
      <w:pPr>
        <w:rPr>
          <w:rFonts w:ascii="Arial" w:hAnsi="Arial" w:cs="Arial"/>
          <w:sz w:val="20"/>
          <w:szCs w:val="20"/>
        </w:rPr>
      </w:pPr>
      <w:r>
        <w:rPr>
          <w:rFonts w:ascii="Arial" w:hAnsi="Arial" w:cs="Arial"/>
          <w:sz w:val="22"/>
          <w:szCs w:val="22"/>
        </w:rPr>
        <w:sym w:font="Wingdings" w:char="F078"/>
      </w:r>
      <w:r>
        <w:rPr>
          <w:rFonts w:ascii="Arial" w:hAnsi="Arial" w:cs="Arial"/>
          <w:sz w:val="22"/>
          <w:szCs w:val="22"/>
        </w:rPr>
        <w:t xml:space="preserve"> </w:t>
      </w:r>
      <w:r>
        <w:rPr>
          <w:rFonts w:ascii="Arial" w:hAnsi="Arial" w:cs="Arial"/>
          <w:sz w:val="20"/>
          <w:szCs w:val="20"/>
        </w:rPr>
        <w:t>Biologie / Santé</w:t>
      </w:r>
    </w:p>
    <w:p w:rsidR="003E0564" w:rsidRDefault="0026379A">
      <w:pPr>
        <w:rPr>
          <w:rFonts w:ascii="Arial" w:hAnsi="Arial" w:cs="Arial"/>
          <w:sz w:val="20"/>
          <w:szCs w:val="20"/>
        </w:rPr>
      </w:pPr>
      <w:r>
        <w:rPr>
          <w:rFonts w:ascii="Arial" w:hAnsi="Arial" w:cs="Arial"/>
          <w:sz w:val="22"/>
          <w:szCs w:val="22"/>
        </w:rPr>
        <w:sym w:font="Wingdings" w:char="F078"/>
      </w:r>
      <w:r>
        <w:rPr>
          <w:rFonts w:ascii="Arial" w:hAnsi="Arial" w:cs="Arial"/>
          <w:sz w:val="22"/>
          <w:szCs w:val="22"/>
        </w:rPr>
        <w:t xml:space="preserve"> </w:t>
      </w:r>
      <w:r>
        <w:rPr>
          <w:rFonts w:ascii="Arial" w:hAnsi="Arial" w:cs="Arial"/>
          <w:sz w:val="20"/>
          <w:szCs w:val="20"/>
        </w:rPr>
        <w:t>Chimie</w:t>
      </w:r>
    </w:p>
    <w:p w:rsidR="003E0564" w:rsidRDefault="0026379A">
      <w:pPr>
        <w:rPr>
          <w:rFonts w:ascii="Arial" w:hAnsi="Arial" w:cs="Arial"/>
          <w:sz w:val="20"/>
          <w:szCs w:val="20"/>
        </w:rPr>
      </w:pPr>
      <w:r>
        <w:rPr>
          <w:rFonts w:ascii="Arial" w:hAnsi="Arial" w:cs="Arial"/>
          <w:sz w:val="22"/>
          <w:szCs w:val="22"/>
        </w:rPr>
        <w:sym w:font="Wingdings" w:char="F0A8"/>
      </w:r>
      <w:r>
        <w:rPr>
          <w:rFonts w:ascii="Arial" w:hAnsi="Arial" w:cs="Arial"/>
          <w:sz w:val="26"/>
          <w:szCs w:val="26"/>
        </w:rPr>
        <w:t xml:space="preserve">  </w:t>
      </w:r>
      <w:r>
        <w:rPr>
          <w:rFonts w:ascii="Arial" w:hAnsi="Arial" w:cs="Arial"/>
          <w:sz w:val="20"/>
          <w:szCs w:val="20"/>
        </w:rPr>
        <w:t>Environnement</w:t>
      </w:r>
    </w:p>
    <w:p w:rsidR="003E0564" w:rsidRDefault="0026379A">
      <w:pPr>
        <w:rPr>
          <w:rFonts w:ascii="Arial" w:hAnsi="Arial" w:cs="Arial"/>
          <w:sz w:val="20"/>
          <w:szCs w:val="20"/>
        </w:rPr>
      </w:pPr>
      <w:r>
        <w:rPr>
          <w:rFonts w:ascii="Arial" w:hAnsi="Arial" w:cs="Arial"/>
          <w:sz w:val="22"/>
          <w:szCs w:val="22"/>
        </w:rPr>
        <w:sym w:font="Wingdings" w:char="F0A8"/>
      </w:r>
      <w:r>
        <w:rPr>
          <w:rFonts w:ascii="Arial" w:hAnsi="Arial" w:cs="Arial"/>
          <w:sz w:val="22"/>
          <w:szCs w:val="22"/>
        </w:rPr>
        <w:t xml:space="preserve">  </w:t>
      </w:r>
      <w:r>
        <w:rPr>
          <w:rFonts w:ascii="Arial" w:hAnsi="Arial" w:cs="Arial"/>
          <w:sz w:val="20"/>
          <w:szCs w:val="20"/>
        </w:rPr>
        <w:t>Sciences humaines et sociales</w:t>
      </w:r>
    </w:p>
    <w:p w:rsidR="003E0564" w:rsidRDefault="0026379A">
      <w:pPr>
        <w:rPr>
          <w:rFonts w:ascii="Arial" w:hAnsi="Arial" w:cs="Arial"/>
          <w:sz w:val="20"/>
          <w:szCs w:val="20"/>
        </w:rPr>
      </w:pPr>
      <w:r>
        <w:rPr>
          <w:rFonts w:ascii="Arial" w:hAnsi="Arial" w:cs="Arial"/>
          <w:sz w:val="22"/>
          <w:szCs w:val="22"/>
        </w:rPr>
        <w:sym w:font="Wingdings" w:char="F0A8"/>
      </w:r>
      <w:r>
        <w:rPr>
          <w:rFonts w:ascii="Arial" w:hAnsi="Arial" w:cs="Arial"/>
          <w:sz w:val="22"/>
          <w:szCs w:val="22"/>
        </w:rPr>
        <w:t xml:space="preserve">  </w:t>
      </w:r>
      <w:r>
        <w:rPr>
          <w:rFonts w:ascii="Arial" w:hAnsi="Arial" w:cs="Arial"/>
          <w:sz w:val="20"/>
          <w:szCs w:val="20"/>
        </w:rPr>
        <w:t>Mathématique / Informatique</w:t>
      </w:r>
    </w:p>
    <w:p w:rsidR="003E0564" w:rsidRDefault="0026379A">
      <w:pPr>
        <w:rPr>
          <w:rFonts w:ascii="Arial" w:hAnsi="Arial" w:cs="Arial"/>
          <w:sz w:val="20"/>
          <w:szCs w:val="20"/>
        </w:rPr>
      </w:pPr>
      <w:r>
        <w:rPr>
          <w:rFonts w:ascii="Arial" w:hAnsi="Arial" w:cs="Arial"/>
          <w:sz w:val="22"/>
          <w:szCs w:val="22"/>
        </w:rPr>
        <w:sym w:font="Wingdings" w:char="F0A8"/>
      </w:r>
      <w:r>
        <w:rPr>
          <w:rFonts w:ascii="Arial" w:hAnsi="Arial" w:cs="Arial"/>
          <w:sz w:val="22"/>
          <w:szCs w:val="22"/>
        </w:rPr>
        <w:t xml:space="preserve">  </w:t>
      </w:r>
      <w:r>
        <w:rPr>
          <w:rFonts w:ascii="Arial" w:hAnsi="Arial" w:cs="Arial"/>
          <w:sz w:val="20"/>
          <w:szCs w:val="20"/>
        </w:rPr>
        <w:t>Ingénierie / Physique</w:t>
      </w:r>
    </w:p>
    <w:p w:rsidR="003E0564" w:rsidRDefault="0026379A">
      <w:pPr>
        <w:rPr>
          <w:rFonts w:ascii="Arial" w:hAnsi="Arial" w:cs="Arial"/>
          <w:sz w:val="20"/>
          <w:szCs w:val="20"/>
        </w:rPr>
      </w:pPr>
      <w:r>
        <w:rPr>
          <w:rFonts w:ascii="Arial" w:hAnsi="Arial" w:cs="Arial"/>
          <w:sz w:val="22"/>
          <w:szCs w:val="22"/>
        </w:rPr>
        <w:sym w:font="Wingdings" w:char="F0A8"/>
      </w:r>
      <w:r>
        <w:rPr>
          <w:rFonts w:ascii="Arial" w:hAnsi="Arial" w:cs="Arial"/>
          <w:sz w:val="22"/>
          <w:szCs w:val="22"/>
        </w:rPr>
        <w:t xml:space="preserve">  </w:t>
      </w:r>
      <w:r>
        <w:rPr>
          <w:rFonts w:ascii="Arial" w:hAnsi="Arial" w:cs="Arial"/>
          <w:sz w:val="20"/>
          <w:szCs w:val="20"/>
        </w:rPr>
        <w:t>Sciences de l’Univers</w:t>
      </w:r>
    </w:p>
    <w:p w:rsidR="003E0564" w:rsidRDefault="003E0564">
      <w:pPr>
        <w:rPr>
          <w:rFonts w:ascii="Arial" w:hAnsi="Arial" w:cs="Arial"/>
          <w:b/>
          <w:bCs/>
          <w:sz w:val="20"/>
          <w:szCs w:val="20"/>
        </w:rPr>
      </w:pPr>
    </w:p>
    <w:p w:rsidR="003E0564" w:rsidRDefault="003E0564">
      <w:pPr>
        <w:rPr>
          <w:rFonts w:ascii="Arial" w:hAnsi="Arial" w:cs="Arial"/>
          <w:b/>
          <w:bCs/>
          <w:sz w:val="20"/>
          <w:szCs w:val="20"/>
        </w:rPr>
      </w:pPr>
    </w:p>
    <w:p w:rsidR="003E0564" w:rsidRDefault="003E0564">
      <w:pPr>
        <w:rPr>
          <w:rFonts w:ascii="Arial" w:hAnsi="Arial" w:cs="Arial"/>
          <w:b/>
          <w:bCs/>
          <w:sz w:val="20"/>
          <w:szCs w:val="20"/>
        </w:rPr>
      </w:pPr>
    </w:p>
    <w:p w:rsidR="003E0564" w:rsidRDefault="0026379A">
      <w:pPr>
        <w:rPr>
          <w:rFonts w:ascii="Arial" w:hAnsi="Arial" w:cs="Arial"/>
          <w:sz w:val="20"/>
          <w:szCs w:val="20"/>
        </w:rPr>
      </w:pPr>
      <w:r>
        <w:rPr>
          <w:rFonts w:ascii="Arial" w:hAnsi="Arial" w:cs="Arial"/>
          <w:b/>
          <w:bCs/>
          <w:sz w:val="20"/>
          <w:szCs w:val="20"/>
        </w:rPr>
        <w:t>Porteur du projet </w:t>
      </w:r>
      <w:r>
        <w:rPr>
          <w:rFonts w:ascii="Arial" w:hAnsi="Arial" w:cs="Arial"/>
          <w:sz w:val="20"/>
          <w:szCs w:val="20"/>
        </w:rPr>
        <w:t>:</w:t>
      </w:r>
    </w:p>
    <w:p w:rsidR="003E0564" w:rsidRDefault="003E0564">
      <w:pPr>
        <w:rPr>
          <w:rFonts w:ascii="Arial" w:hAnsi="Arial" w:cs="Arial"/>
          <w:sz w:val="4"/>
          <w:szCs w:val="4"/>
        </w:rPr>
      </w:pPr>
    </w:p>
    <w:tbl>
      <w:tblPr>
        <w:tblW w:w="0" w:type="auto"/>
        <w:tblInd w:w="108" w:type="dxa"/>
        <w:tblLook w:val="00A0"/>
      </w:tblPr>
      <w:tblGrid>
        <w:gridCol w:w="3600"/>
        <w:gridCol w:w="2160"/>
        <w:gridCol w:w="1114"/>
        <w:gridCol w:w="3438"/>
      </w:tblGrid>
      <w:tr w:rsidR="003E0564">
        <w:tc>
          <w:tcPr>
            <w:tcW w:w="5760" w:type="dxa"/>
            <w:gridSpan w:val="2"/>
          </w:tcPr>
          <w:p w:rsidR="003E0564" w:rsidRDefault="0026379A">
            <w:pPr>
              <w:spacing w:before="20" w:after="20"/>
              <w:rPr>
                <w:rFonts w:ascii="Arial" w:hAnsi="Arial" w:cs="Arial"/>
                <w:b/>
                <w:bCs/>
                <w:sz w:val="20"/>
                <w:szCs w:val="20"/>
              </w:rPr>
            </w:pPr>
            <w:r>
              <w:rPr>
                <w:rFonts w:ascii="Arial" w:hAnsi="Arial" w:cs="Arial"/>
                <w:sz w:val="20"/>
                <w:szCs w:val="20"/>
              </w:rPr>
              <w:t xml:space="preserve">Nom - Prénom : </w:t>
            </w:r>
            <w:r>
              <w:rPr>
                <w:b/>
                <w:sz w:val="20"/>
                <w:szCs w:val="20"/>
              </w:rPr>
              <w:t xml:space="preserve">Oliver </w:t>
            </w:r>
            <w:r>
              <w:rPr>
                <w:b/>
                <w:sz w:val="20"/>
                <w:szCs w:val="20"/>
              </w:rPr>
              <w:t>SCHÄF</w:t>
            </w:r>
          </w:p>
        </w:tc>
        <w:tc>
          <w:tcPr>
            <w:tcW w:w="4552" w:type="dxa"/>
            <w:gridSpan w:val="2"/>
          </w:tcPr>
          <w:p w:rsidR="003E0564" w:rsidRDefault="0026379A">
            <w:pPr>
              <w:spacing w:before="20" w:after="20"/>
              <w:rPr>
                <w:rFonts w:ascii="Arial" w:hAnsi="Arial" w:cs="Arial"/>
                <w:b/>
                <w:bCs/>
                <w:sz w:val="20"/>
                <w:szCs w:val="20"/>
              </w:rPr>
            </w:pPr>
            <w:r>
              <w:rPr>
                <w:rFonts w:ascii="Arial" w:hAnsi="Arial" w:cs="Arial"/>
                <w:sz w:val="20"/>
                <w:szCs w:val="20"/>
              </w:rPr>
              <w:t xml:space="preserve">Fonction : </w:t>
            </w:r>
            <w:r>
              <w:rPr>
                <w:rFonts w:ascii="Arial" w:hAnsi="Arial" w:cs="Arial"/>
                <w:b/>
                <w:sz w:val="20"/>
                <w:szCs w:val="20"/>
              </w:rPr>
              <w:t>CR1</w:t>
            </w:r>
          </w:p>
        </w:tc>
      </w:tr>
      <w:tr w:rsidR="003E0564">
        <w:tc>
          <w:tcPr>
            <w:tcW w:w="5760" w:type="dxa"/>
            <w:gridSpan w:val="2"/>
          </w:tcPr>
          <w:p w:rsidR="003E0564" w:rsidRDefault="0026379A">
            <w:pPr>
              <w:spacing w:before="20" w:after="20"/>
              <w:rPr>
                <w:rFonts w:ascii="Arial" w:hAnsi="Arial" w:cs="Arial"/>
                <w:b/>
                <w:bCs/>
                <w:sz w:val="20"/>
                <w:szCs w:val="20"/>
              </w:rPr>
            </w:pPr>
            <w:r>
              <w:rPr>
                <w:rFonts w:ascii="Arial" w:hAnsi="Arial" w:cs="Arial"/>
                <w:sz w:val="20"/>
                <w:szCs w:val="20"/>
              </w:rPr>
              <w:t xml:space="preserve">Laboratoire :      </w:t>
            </w:r>
            <w:r>
              <w:rPr>
                <w:rFonts w:ascii="Arial" w:hAnsi="Arial" w:cs="Arial"/>
                <w:b/>
                <w:sz w:val="20"/>
                <w:szCs w:val="20"/>
              </w:rPr>
              <w:t>UMR/CNRS 7246 MADIREL</w:t>
            </w:r>
          </w:p>
        </w:tc>
        <w:tc>
          <w:tcPr>
            <w:tcW w:w="4552" w:type="dxa"/>
            <w:gridSpan w:val="2"/>
          </w:tcPr>
          <w:p w:rsidR="003E0564" w:rsidRDefault="0026379A">
            <w:pPr>
              <w:spacing w:before="20" w:after="20"/>
              <w:rPr>
                <w:rFonts w:ascii="Arial" w:hAnsi="Arial" w:cs="Arial"/>
                <w:b/>
                <w:bCs/>
                <w:sz w:val="20"/>
                <w:szCs w:val="20"/>
              </w:rPr>
            </w:pPr>
            <w:r>
              <w:rPr>
                <w:rFonts w:ascii="Arial" w:hAnsi="Arial" w:cs="Arial"/>
                <w:sz w:val="20"/>
                <w:szCs w:val="20"/>
              </w:rPr>
              <w:t xml:space="preserve">Organisme de rattachement : </w:t>
            </w:r>
            <w:r>
              <w:rPr>
                <w:rFonts w:ascii="Arial" w:hAnsi="Arial" w:cs="Arial"/>
                <w:b/>
                <w:sz w:val="20"/>
                <w:szCs w:val="20"/>
              </w:rPr>
              <w:t>CNRS Délégation Provence et Corse</w:t>
            </w:r>
          </w:p>
        </w:tc>
      </w:tr>
      <w:tr w:rsidR="003E0564">
        <w:tc>
          <w:tcPr>
            <w:tcW w:w="10312" w:type="dxa"/>
            <w:gridSpan w:val="4"/>
          </w:tcPr>
          <w:p w:rsidR="003E0564" w:rsidRDefault="0026379A">
            <w:pPr>
              <w:spacing w:before="20" w:after="20"/>
              <w:rPr>
                <w:b/>
              </w:rPr>
            </w:pPr>
            <w:r>
              <w:rPr>
                <w:rFonts w:ascii="Arial" w:hAnsi="Arial" w:cs="Arial"/>
                <w:sz w:val="20"/>
                <w:szCs w:val="20"/>
              </w:rPr>
              <w:t>Adresse :</w:t>
            </w:r>
            <w:r>
              <w:t xml:space="preserve">          </w:t>
            </w:r>
            <w:r>
              <w:rPr>
                <w:b/>
              </w:rPr>
              <w:t>Centre de St Jérôme</w:t>
            </w:r>
          </w:p>
          <w:p w:rsidR="003E0564" w:rsidRDefault="0026379A">
            <w:pPr>
              <w:spacing w:before="20" w:after="20"/>
              <w:rPr>
                <w:rFonts w:ascii="Arial" w:hAnsi="Arial" w:cs="Arial"/>
                <w:b/>
                <w:bCs/>
                <w:sz w:val="20"/>
                <w:szCs w:val="20"/>
              </w:rPr>
            </w:pPr>
            <w:r>
              <w:rPr>
                <w:b/>
              </w:rPr>
              <w:t xml:space="preserve">                        F-13397 Marseille Cedex 20</w:t>
            </w:r>
          </w:p>
        </w:tc>
      </w:tr>
      <w:tr w:rsidR="003E0564">
        <w:tc>
          <w:tcPr>
            <w:tcW w:w="3600" w:type="dxa"/>
          </w:tcPr>
          <w:p w:rsidR="003E0564" w:rsidRDefault="0026379A">
            <w:pPr>
              <w:spacing w:before="20" w:after="20"/>
              <w:rPr>
                <w:rFonts w:ascii="Arial" w:hAnsi="Arial" w:cs="Arial"/>
                <w:sz w:val="20"/>
                <w:szCs w:val="20"/>
                <w:lang w:val="de-DE"/>
              </w:rPr>
            </w:pPr>
            <w:r>
              <w:rPr>
                <w:rFonts w:ascii="Arial" w:hAnsi="Arial" w:cs="Arial"/>
                <w:sz w:val="20"/>
                <w:szCs w:val="20"/>
                <w:lang w:val="de-DE"/>
              </w:rPr>
              <w:t xml:space="preserve">E-mail : </w:t>
            </w:r>
            <w:r>
              <w:rPr>
                <w:rFonts w:ascii="Arial" w:hAnsi="Arial" w:cs="Arial"/>
                <w:b/>
                <w:sz w:val="20"/>
                <w:szCs w:val="20"/>
                <w:lang w:val="de-DE"/>
              </w:rPr>
              <w:t>Oliver.Schaef@univ-amu.fr</w:t>
            </w:r>
          </w:p>
        </w:tc>
        <w:tc>
          <w:tcPr>
            <w:tcW w:w="3274" w:type="dxa"/>
            <w:gridSpan w:val="2"/>
          </w:tcPr>
          <w:p w:rsidR="003E0564" w:rsidRDefault="0026379A">
            <w:pPr>
              <w:spacing w:before="20" w:after="20"/>
              <w:rPr>
                <w:rFonts w:ascii="Arial" w:hAnsi="Arial" w:cs="Arial"/>
                <w:b/>
                <w:bCs/>
                <w:sz w:val="20"/>
                <w:szCs w:val="20"/>
              </w:rPr>
            </w:pPr>
            <w:r>
              <w:rPr>
                <w:rFonts w:ascii="Arial" w:hAnsi="Arial" w:cs="Arial"/>
                <w:sz w:val="20"/>
                <w:szCs w:val="20"/>
              </w:rPr>
              <w:t xml:space="preserve">Tel : </w:t>
            </w:r>
            <w:r>
              <w:rPr>
                <w:b/>
              </w:rPr>
              <w:t>04 13 551 834</w:t>
            </w:r>
          </w:p>
        </w:tc>
        <w:tc>
          <w:tcPr>
            <w:tcW w:w="3438" w:type="dxa"/>
          </w:tcPr>
          <w:p w:rsidR="003E0564" w:rsidRDefault="0026379A">
            <w:pPr>
              <w:spacing w:before="20" w:after="20"/>
              <w:rPr>
                <w:rFonts w:ascii="Arial" w:hAnsi="Arial" w:cs="Arial"/>
                <w:b/>
                <w:bCs/>
                <w:sz w:val="20"/>
                <w:szCs w:val="20"/>
              </w:rPr>
            </w:pPr>
            <w:r>
              <w:rPr>
                <w:rFonts w:ascii="Arial" w:hAnsi="Arial" w:cs="Arial"/>
                <w:sz w:val="20"/>
                <w:szCs w:val="20"/>
              </w:rPr>
              <w:t>Fax :</w:t>
            </w:r>
            <w:r>
              <w:t xml:space="preserve"> </w:t>
            </w:r>
            <w:r>
              <w:rPr>
                <w:b/>
              </w:rPr>
              <w:t>04 13 551 850</w:t>
            </w:r>
          </w:p>
        </w:tc>
      </w:tr>
    </w:tbl>
    <w:p w:rsidR="003E0564" w:rsidRDefault="003E0564">
      <w:pPr>
        <w:rPr>
          <w:rFonts w:ascii="Arial" w:hAnsi="Arial" w:cs="Arial"/>
          <w:sz w:val="20"/>
          <w:szCs w:val="20"/>
        </w:rPr>
      </w:pPr>
    </w:p>
    <w:p w:rsidR="003E0564" w:rsidRDefault="0026379A">
      <w:pPr>
        <w:rPr>
          <w:rFonts w:ascii="Arial" w:hAnsi="Arial" w:cs="Arial"/>
          <w:b/>
          <w:bCs/>
          <w:sz w:val="20"/>
          <w:szCs w:val="20"/>
        </w:rPr>
      </w:pPr>
      <w:r>
        <w:rPr>
          <w:rFonts w:ascii="Arial" w:hAnsi="Arial" w:cs="Arial"/>
          <w:b/>
          <w:bCs/>
          <w:sz w:val="20"/>
          <w:szCs w:val="20"/>
          <w:u w:val="single"/>
        </w:rPr>
        <w:t>Budget du projet </w:t>
      </w:r>
      <w:r>
        <w:rPr>
          <w:rFonts w:ascii="Arial" w:hAnsi="Arial" w:cs="Arial"/>
          <w:b/>
          <w:bCs/>
          <w:sz w:val="20"/>
          <w:szCs w:val="20"/>
        </w:rPr>
        <w:t>:</w:t>
      </w:r>
    </w:p>
    <w:p w:rsidR="003E0564" w:rsidRDefault="003E0564">
      <w:pPr>
        <w:rPr>
          <w:rFonts w:ascii="Arial" w:hAnsi="Arial" w:cs="Arial"/>
          <w:b/>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3543"/>
        <w:gridCol w:w="3434"/>
      </w:tblGrid>
      <w:tr w:rsidR="003E0564">
        <w:tc>
          <w:tcPr>
            <w:tcW w:w="2802" w:type="dxa"/>
            <w:tcBorders>
              <w:top w:val="nil"/>
              <w:left w:val="nil"/>
            </w:tcBorders>
          </w:tcPr>
          <w:p w:rsidR="003E0564" w:rsidRDefault="003E0564">
            <w:pPr>
              <w:rPr>
                <w:rFonts w:ascii="Arial" w:hAnsi="Arial" w:cs="Arial"/>
                <w:b/>
                <w:bCs/>
                <w:sz w:val="20"/>
                <w:szCs w:val="20"/>
              </w:rPr>
            </w:pPr>
          </w:p>
        </w:tc>
        <w:tc>
          <w:tcPr>
            <w:tcW w:w="3543" w:type="dxa"/>
          </w:tcPr>
          <w:p w:rsidR="003E0564" w:rsidRDefault="0026379A">
            <w:pPr>
              <w:spacing w:before="120" w:after="120"/>
              <w:jc w:val="center"/>
              <w:rPr>
                <w:rFonts w:ascii="Arial" w:hAnsi="Arial" w:cs="Arial"/>
                <w:b/>
                <w:bCs/>
                <w:sz w:val="18"/>
                <w:szCs w:val="18"/>
              </w:rPr>
            </w:pPr>
            <w:r>
              <w:rPr>
                <w:rFonts w:ascii="Arial" w:hAnsi="Arial" w:cs="Arial"/>
                <w:b/>
                <w:bCs/>
                <w:sz w:val="18"/>
                <w:szCs w:val="18"/>
              </w:rPr>
              <w:t>BUDGET GLOBAL</w:t>
            </w:r>
          </w:p>
        </w:tc>
        <w:tc>
          <w:tcPr>
            <w:tcW w:w="3434" w:type="dxa"/>
          </w:tcPr>
          <w:p w:rsidR="003E0564" w:rsidRDefault="0026379A">
            <w:pPr>
              <w:spacing w:before="120" w:after="120"/>
              <w:jc w:val="center"/>
              <w:rPr>
                <w:rFonts w:ascii="Arial" w:hAnsi="Arial" w:cs="Arial"/>
                <w:b/>
                <w:bCs/>
                <w:sz w:val="18"/>
                <w:szCs w:val="18"/>
              </w:rPr>
            </w:pPr>
            <w:r>
              <w:rPr>
                <w:rFonts w:ascii="Arial" w:hAnsi="Arial" w:cs="Arial"/>
                <w:b/>
                <w:bCs/>
                <w:sz w:val="18"/>
                <w:szCs w:val="18"/>
              </w:rPr>
              <w:t>MONTANT DEMANDÉ À LA RÉGION</w:t>
            </w:r>
          </w:p>
        </w:tc>
      </w:tr>
      <w:tr w:rsidR="003E0564">
        <w:tc>
          <w:tcPr>
            <w:tcW w:w="2802" w:type="dxa"/>
            <w:vAlign w:val="center"/>
          </w:tcPr>
          <w:p w:rsidR="003E0564" w:rsidRDefault="0026379A">
            <w:pPr>
              <w:spacing w:before="120" w:after="120"/>
              <w:rPr>
                <w:rFonts w:ascii="Arial" w:hAnsi="Arial" w:cs="Arial"/>
                <w:b/>
                <w:bCs/>
                <w:sz w:val="18"/>
                <w:szCs w:val="18"/>
              </w:rPr>
            </w:pPr>
            <w:r>
              <w:rPr>
                <w:rFonts w:ascii="Arial" w:hAnsi="Arial" w:cs="Arial"/>
                <w:b/>
                <w:bCs/>
                <w:sz w:val="18"/>
                <w:szCs w:val="18"/>
              </w:rPr>
              <w:t>INVESTISSEMENT</w:t>
            </w:r>
          </w:p>
        </w:tc>
        <w:tc>
          <w:tcPr>
            <w:tcW w:w="3543" w:type="dxa"/>
          </w:tcPr>
          <w:p w:rsidR="003E0564" w:rsidRDefault="0026379A">
            <w:pPr>
              <w:spacing w:before="120" w:after="120"/>
              <w:jc w:val="center"/>
              <w:rPr>
                <w:rFonts w:ascii="Arial" w:hAnsi="Arial" w:cs="Arial"/>
                <w:b/>
                <w:bCs/>
                <w:sz w:val="20"/>
                <w:szCs w:val="20"/>
              </w:rPr>
            </w:pPr>
            <w:r>
              <w:rPr>
                <w:rFonts w:ascii="Arial" w:hAnsi="Arial" w:cs="Arial"/>
                <w:b/>
                <w:bCs/>
                <w:sz w:val="20"/>
                <w:szCs w:val="20"/>
              </w:rPr>
              <w:t xml:space="preserve">18600 € HT </w:t>
            </w:r>
          </w:p>
        </w:tc>
        <w:tc>
          <w:tcPr>
            <w:tcW w:w="3434" w:type="dxa"/>
          </w:tcPr>
          <w:p w:rsidR="003E0564" w:rsidRDefault="0026379A">
            <w:pPr>
              <w:spacing w:before="120" w:after="120"/>
              <w:jc w:val="center"/>
              <w:rPr>
                <w:rFonts w:ascii="Arial" w:hAnsi="Arial" w:cs="Arial"/>
                <w:b/>
                <w:bCs/>
                <w:sz w:val="20"/>
                <w:szCs w:val="20"/>
              </w:rPr>
            </w:pPr>
            <w:r>
              <w:rPr>
                <w:rFonts w:ascii="Arial" w:hAnsi="Arial" w:cs="Arial"/>
                <w:b/>
                <w:bCs/>
                <w:sz w:val="20"/>
                <w:szCs w:val="20"/>
              </w:rPr>
              <w:t>14800 € HT</w:t>
            </w:r>
          </w:p>
        </w:tc>
      </w:tr>
      <w:tr w:rsidR="003E0564">
        <w:tc>
          <w:tcPr>
            <w:tcW w:w="2802" w:type="dxa"/>
            <w:vAlign w:val="center"/>
          </w:tcPr>
          <w:p w:rsidR="003E0564" w:rsidRDefault="0026379A">
            <w:pPr>
              <w:spacing w:before="120" w:after="120"/>
              <w:rPr>
                <w:rFonts w:ascii="Arial" w:hAnsi="Arial" w:cs="Arial"/>
                <w:b/>
                <w:bCs/>
                <w:sz w:val="18"/>
                <w:szCs w:val="18"/>
              </w:rPr>
            </w:pPr>
            <w:r>
              <w:rPr>
                <w:rFonts w:ascii="Arial" w:hAnsi="Arial" w:cs="Arial"/>
                <w:b/>
                <w:bCs/>
                <w:sz w:val="18"/>
                <w:szCs w:val="18"/>
              </w:rPr>
              <w:t>FONCTIONNEMENT (*)</w:t>
            </w:r>
          </w:p>
        </w:tc>
        <w:tc>
          <w:tcPr>
            <w:tcW w:w="3543" w:type="dxa"/>
          </w:tcPr>
          <w:p w:rsidR="003E0564" w:rsidRDefault="0026379A">
            <w:pPr>
              <w:spacing w:before="120" w:after="120"/>
              <w:jc w:val="center"/>
              <w:rPr>
                <w:rFonts w:ascii="Arial" w:hAnsi="Arial" w:cs="Arial"/>
                <w:b/>
                <w:bCs/>
                <w:sz w:val="20"/>
                <w:szCs w:val="20"/>
              </w:rPr>
            </w:pPr>
            <w:r>
              <w:rPr>
                <w:rFonts w:ascii="Arial" w:hAnsi="Arial" w:cs="Arial"/>
                <w:b/>
                <w:bCs/>
                <w:sz w:val="20"/>
                <w:szCs w:val="20"/>
              </w:rPr>
              <w:t>/</w:t>
            </w:r>
          </w:p>
        </w:tc>
        <w:tc>
          <w:tcPr>
            <w:tcW w:w="3434" w:type="dxa"/>
          </w:tcPr>
          <w:p w:rsidR="003E0564" w:rsidRDefault="003E0564">
            <w:pPr>
              <w:spacing w:before="120" w:after="120"/>
              <w:jc w:val="center"/>
              <w:rPr>
                <w:rFonts w:ascii="Arial" w:hAnsi="Arial" w:cs="Arial"/>
                <w:b/>
                <w:bCs/>
                <w:sz w:val="20"/>
                <w:szCs w:val="20"/>
              </w:rPr>
            </w:pPr>
          </w:p>
        </w:tc>
      </w:tr>
      <w:tr w:rsidR="003E0564">
        <w:tc>
          <w:tcPr>
            <w:tcW w:w="2802" w:type="dxa"/>
            <w:vAlign w:val="center"/>
          </w:tcPr>
          <w:p w:rsidR="003E0564" w:rsidRDefault="0026379A">
            <w:pPr>
              <w:spacing w:before="120" w:after="120"/>
              <w:rPr>
                <w:rFonts w:ascii="Arial" w:hAnsi="Arial" w:cs="Arial"/>
                <w:b/>
                <w:bCs/>
                <w:sz w:val="18"/>
                <w:szCs w:val="18"/>
              </w:rPr>
            </w:pPr>
            <w:r>
              <w:rPr>
                <w:rFonts w:ascii="Arial" w:hAnsi="Arial" w:cs="Arial"/>
                <w:b/>
                <w:bCs/>
                <w:sz w:val="18"/>
                <w:szCs w:val="18"/>
              </w:rPr>
              <w:t>BOURSE POST-DOCTORALE</w:t>
            </w:r>
          </w:p>
        </w:tc>
        <w:tc>
          <w:tcPr>
            <w:tcW w:w="3543" w:type="dxa"/>
          </w:tcPr>
          <w:p w:rsidR="003E0564" w:rsidRDefault="0026379A">
            <w:pPr>
              <w:spacing w:before="120" w:after="120"/>
              <w:jc w:val="center"/>
              <w:rPr>
                <w:rFonts w:ascii="Arial" w:hAnsi="Arial" w:cs="Arial"/>
                <w:b/>
                <w:bCs/>
                <w:sz w:val="20"/>
                <w:szCs w:val="20"/>
              </w:rPr>
            </w:pPr>
            <w:r>
              <w:rPr>
                <w:rFonts w:ascii="Arial" w:hAnsi="Arial" w:cs="Arial"/>
                <w:b/>
                <w:bCs/>
                <w:sz w:val="20"/>
                <w:szCs w:val="20"/>
              </w:rPr>
              <w:t>/</w:t>
            </w:r>
          </w:p>
        </w:tc>
        <w:tc>
          <w:tcPr>
            <w:tcW w:w="3434" w:type="dxa"/>
          </w:tcPr>
          <w:p w:rsidR="003E0564" w:rsidRDefault="003E0564">
            <w:pPr>
              <w:spacing w:before="120" w:after="120"/>
              <w:jc w:val="center"/>
              <w:rPr>
                <w:rFonts w:ascii="Arial" w:hAnsi="Arial" w:cs="Arial"/>
                <w:b/>
                <w:bCs/>
                <w:sz w:val="20"/>
                <w:szCs w:val="20"/>
              </w:rPr>
            </w:pPr>
          </w:p>
        </w:tc>
      </w:tr>
    </w:tbl>
    <w:p w:rsidR="003E0564" w:rsidRDefault="003E0564">
      <w:pPr>
        <w:rPr>
          <w:rFonts w:ascii="Arial" w:hAnsi="Arial" w:cs="Arial"/>
          <w:sz w:val="6"/>
          <w:szCs w:val="6"/>
        </w:rPr>
      </w:pPr>
    </w:p>
    <w:p w:rsidR="003E0564" w:rsidRDefault="0026379A">
      <w:pPr>
        <w:rPr>
          <w:rFonts w:ascii="Arial Narrow" w:hAnsi="Arial Narrow" w:cs="Arial Narrow"/>
          <w:sz w:val="20"/>
          <w:szCs w:val="20"/>
        </w:rPr>
      </w:pPr>
      <w:r>
        <w:rPr>
          <w:rFonts w:ascii="Arial" w:hAnsi="Arial" w:cs="Arial"/>
          <w:sz w:val="20"/>
          <w:szCs w:val="20"/>
        </w:rPr>
        <w:t xml:space="preserve">(*) </w:t>
      </w:r>
      <w:r>
        <w:rPr>
          <w:rFonts w:ascii="Arial Narrow" w:hAnsi="Arial Narrow" w:cs="Arial Narrow"/>
          <w:sz w:val="20"/>
          <w:szCs w:val="20"/>
        </w:rPr>
        <w:t xml:space="preserve">Concerne uniquement les Sciences humaines, sociales, économiques, juridiques, mathématiques et informatiques. </w:t>
      </w:r>
    </w:p>
    <w:p w:rsidR="003E0564" w:rsidRDefault="003E0564">
      <w:pPr>
        <w:rPr>
          <w:rFonts w:ascii="Arial" w:hAnsi="Arial" w:cs="Arial"/>
          <w:b/>
          <w:bCs/>
        </w:rPr>
      </w:pPr>
    </w:p>
    <w:p w:rsidR="003E0564" w:rsidRDefault="0026379A">
      <w:pPr>
        <w:rPr>
          <w:rFonts w:ascii="Arial" w:hAnsi="Arial" w:cs="Arial"/>
          <w:i/>
          <w:iCs/>
          <w:sz w:val="20"/>
          <w:szCs w:val="20"/>
        </w:rPr>
      </w:pPr>
      <w:r>
        <w:rPr>
          <w:rFonts w:ascii="Arial" w:hAnsi="Arial" w:cs="Arial"/>
          <w:b/>
          <w:bCs/>
          <w:sz w:val="20"/>
          <w:szCs w:val="20"/>
          <w:u w:val="single"/>
        </w:rPr>
        <w:t>Pour le porteur du projet</w:t>
      </w:r>
      <w:r>
        <w:rPr>
          <w:rFonts w:ascii="Arial" w:hAnsi="Arial" w:cs="Arial"/>
          <w:b/>
          <w:bCs/>
          <w:sz w:val="20"/>
          <w:szCs w:val="20"/>
        </w:rPr>
        <w:t>:</w:t>
      </w:r>
      <w:r>
        <w:rPr>
          <w:rFonts w:ascii="Arial" w:hAnsi="Arial" w:cs="Arial"/>
          <w:i/>
          <w:iCs/>
          <w:sz w:val="20"/>
          <w:szCs w:val="20"/>
        </w:rPr>
        <w:t xml:space="preserve"> (nom, prénom, signature, date) : </w:t>
      </w:r>
      <w:r>
        <w:rPr>
          <w:b/>
          <w:sz w:val="20"/>
          <w:szCs w:val="20"/>
        </w:rPr>
        <w:t>Oliver SCHÄF, 13 Janvier 2014</w:t>
      </w:r>
    </w:p>
    <w:p w:rsidR="003E0564" w:rsidRDefault="003E0564">
      <w:pPr>
        <w:rPr>
          <w:rFonts w:ascii="Arial" w:hAnsi="Arial" w:cs="Arial"/>
          <w:i/>
          <w:iCs/>
          <w:sz w:val="20"/>
          <w:szCs w:val="20"/>
        </w:rPr>
      </w:pPr>
    </w:p>
    <w:tbl>
      <w:tblPr>
        <w:tblW w:w="0" w:type="auto"/>
        <w:jc w:val="center"/>
        <w:tblLook w:val="00A0"/>
      </w:tblPr>
      <w:tblGrid>
        <w:gridCol w:w="4928"/>
        <w:gridCol w:w="4850"/>
      </w:tblGrid>
      <w:tr w:rsidR="003E0564">
        <w:trPr>
          <w:jc w:val="center"/>
        </w:trPr>
        <w:tc>
          <w:tcPr>
            <w:tcW w:w="4928" w:type="dxa"/>
          </w:tcPr>
          <w:p w:rsidR="003E0564" w:rsidRDefault="0026379A">
            <w:pPr>
              <w:rPr>
                <w:rFonts w:ascii="Arial" w:hAnsi="Arial" w:cs="Arial"/>
                <w:sz w:val="20"/>
                <w:szCs w:val="20"/>
              </w:rPr>
            </w:pPr>
            <w:r>
              <w:rPr>
                <w:rFonts w:ascii="Arial" w:hAnsi="Arial" w:cs="Arial"/>
                <w:sz w:val="20"/>
                <w:szCs w:val="20"/>
              </w:rPr>
              <w:t xml:space="preserve">Le Président d’Université                         </w:t>
            </w:r>
            <w:r>
              <w:rPr>
                <w:rFonts w:ascii="Arial" w:hAnsi="Arial" w:cs="Arial"/>
                <w:b/>
                <w:bCs/>
                <w:sz w:val="20"/>
                <w:szCs w:val="20"/>
              </w:rPr>
              <w:t>ou</w:t>
            </w: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26379A">
            <w:pPr>
              <w:rPr>
                <w:rFonts w:ascii="Arial" w:hAnsi="Arial" w:cs="Arial"/>
                <w:sz w:val="20"/>
                <w:szCs w:val="20"/>
              </w:rPr>
            </w:pPr>
            <w:r>
              <w:rPr>
                <w:rFonts w:ascii="Arial" w:hAnsi="Arial" w:cs="Arial"/>
                <w:sz w:val="20"/>
                <w:szCs w:val="20"/>
              </w:rPr>
              <w:t xml:space="preserve">Le </w:t>
            </w:r>
            <w:r>
              <w:rPr>
                <w:rFonts w:ascii="Arial" w:hAnsi="Arial" w:cs="Arial"/>
                <w:sz w:val="16"/>
                <w:szCs w:val="16"/>
              </w:rPr>
              <w:t>…………………………………..</w:t>
            </w:r>
          </w:p>
        </w:tc>
        <w:tc>
          <w:tcPr>
            <w:tcW w:w="4850" w:type="dxa"/>
            <w:tcBorders>
              <w:left w:val="nil"/>
            </w:tcBorders>
          </w:tcPr>
          <w:p w:rsidR="003E0564" w:rsidRDefault="0026379A">
            <w:pPr>
              <w:rPr>
                <w:rFonts w:ascii="Arial" w:hAnsi="Arial" w:cs="Arial"/>
                <w:sz w:val="20"/>
                <w:szCs w:val="20"/>
              </w:rPr>
            </w:pPr>
            <w:r>
              <w:rPr>
                <w:rFonts w:ascii="Arial" w:hAnsi="Arial" w:cs="Arial"/>
                <w:sz w:val="20"/>
                <w:szCs w:val="20"/>
              </w:rPr>
              <w:t>Le Délégué Régional de l’Organisme</w:t>
            </w: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26379A">
            <w:pPr>
              <w:rPr>
                <w:rFonts w:ascii="Arial" w:hAnsi="Arial" w:cs="Arial"/>
                <w:sz w:val="20"/>
                <w:szCs w:val="20"/>
              </w:rPr>
            </w:pPr>
            <w:r>
              <w:rPr>
                <w:rFonts w:ascii="Arial" w:hAnsi="Arial" w:cs="Arial"/>
                <w:sz w:val="20"/>
                <w:szCs w:val="20"/>
              </w:rPr>
              <w:t xml:space="preserve">Le </w:t>
            </w:r>
            <w:r>
              <w:rPr>
                <w:rFonts w:ascii="Arial" w:hAnsi="Arial" w:cs="Arial"/>
                <w:sz w:val="16"/>
                <w:szCs w:val="16"/>
              </w:rPr>
              <w:t>…………………………………..</w:t>
            </w:r>
          </w:p>
        </w:tc>
      </w:tr>
    </w:tbl>
    <w:p w:rsidR="003E0564" w:rsidRDefault="003E0564">
      <w:pPr>
        <w:rPr>
          <w:rFonts w:ascii="Arial" w:hAnsi="Arial" w:cs="Arial"/>
          <w:sz w:val="20"/>
          <w:szCs w:val="20"/>
        </w:rPr>
      </w:pPr>
    </w:p>
    <w:p w:rsidR="003E0564" w:rsidRDefault="0026379A">
      <w:pPr>
        <w:rPr>
          <w:rFonts w:ascii="Arial" w:hAnsi="Arial" w:cs="Arial"/>
          <w:b/>
          <w:bCs/>
        </w:rPr>
      </w:pPr>
      <w:r>
        <w:rPr>
          <w:rFonts w:ascii="Arial" w:hAnsi="Arial" w:cs="Arial"/>
          <w:b/>
          <w:bCs/>
          <w:sz w:val="28"/>
          <w:szCs w:val="28"/>
        </w:rPr>
        <w:br w:type="page"/>
      </w:r>
      <w:r>
        <w:rPr>
          <w:rFonts w:ascii="Arial" w:hAnsi="Arial" w:cs="Arial"/>
          <w:b/>
          <w:bCs/>
        </w:rPr>
        <w:lastRenderedPageBreak/>
        <w:t>1. Partie scientifique</w:t>
      </w:r>
    </w:p>
    <w:p w:rsidR="003E0564" w:rsidRDefault="003E0564">
      <w:pPr>
        <w:rPr>
          <w:rFonts w:ascii="Arial" w:hAnsi="Arial" w:cs="Arial"/>
          <w:b/>
          <w:bCs/>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sz w:val="16"/>
          <w:szCs w:val="16"/>
        </w:rPr>
      </w:pPr>
    </w:p>
    <w:p w:rsidR="003E0564" w:rsidRDefault="0026379A">
      <w:pPr>
        <w:numPr>
          <w:ilvl w:val="1"/>
          <w:numId w:val="16"/>
        </w:numPr>
        <w:pBdr>
          <w:top w:val="single" w:sz="4" w:space="1" w:color="auto"/>
          <w:left w:val="single" w:sz="4" w:space="4" w:color="auto"/>
          <w:bottom w:val="single" w:sz="4" w:space="1" w:color="auto"/>
          <w:right w:val="single" w:sz="4" w:space="4" w:color="auto"/>
        </w:pBdr>
        <w:rPr>
          <w:rFonts w:ascii="Arial" w:hAnsi="Arial" w:cs="Arial"/>
          <w:b/>
          <w:bCs/>
        </w:rPr>
      </w:pPr>
      <w:r>
        <w:rPr>
          <w:rFonts w:ascii="Arial" w:hAnsi="Arial" w:cs="Arial"/>
          <w:b/>
          <w:bCs/>
        </w:rPr>
        <w:t>Résumé du projet</w:t>
      </w: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rPr>
      </w:pPr>
    </w:p>
    <w:p w:rsidR="003E0564" w:rsidRDefault="0026379A">
      <w:pPr>
        <w:pBdr>
          <w:top w:val="single" w:sz="4" w:space="1" w:color="auto"/>
          <w:left w:val="single" w:sz="4" w:space="4" w:color="auto"/>
          <w:bottom w:val="single" w:sz="4" w:space="1" w:color="auto"/>
          <w:right w:val="single" w:sz="4" w:space="4" w:color="auto"/>
        </w:pBdr>
        <w:ind w:firstLine="360"/>
        <w:jc w:val="both"/>
      </w:pPr>
      <w:r>
        <w:t>Le laboratoire MADIREL possède une expertise reconnue dans le domaine des matériaux nanostructurés</w:t>
      </w:r>
      <w:r>
        <w:t xml:space="preserve"> et des zéolithes. Il a identifié de nouveaux matériaux susceptibles d’améliorer sensiblement les détecteurs de gaz. Ce projet exploratoire a pour objectif d’utiliser ces nouveaux matériaux pour le développement d’une nouvelle génération de détecteurs de g</w:t>
      </w:r>
      <w:r>
        <w:t>az, basés sur l’électrochimie, et dont une application directe est le dépistage de pathologies respiratoires (cancers et maladies pulmonaires). Ces pathologies sont identifiables par l’analyse de molécules marqueurs présentes dans l’haleine. Ce projet se c</w:t>
      </w:r>
      <w:r>
        <w:t>oncentrera sur deux molécules caractéristiques de ces maladies : l'oxyde nitrique (NO- molécule marqueur inorganique) et le décanal (C</w:t>
      </w:r>
      <w:r>
        <w:rPr>
          <w:vertAlign w:val="subscript"/>
        </w:rPr>
        <w:t>9</w:t>
      </w:r>
      <w:r>
        <w:t>H</w:t>
      </w:r>
      <w:r>
        <w:rPr>
          <w:vertAlign w:val="subscript"/>
        </w:rPr>
        <w:t>19</w:t>
      </w:r>
      <w:r>
        <w:t>CHO-molécule marqueur organique). La mise au point des détecteurs de ce projet permettra donc l’élaboration d’un nouve</w:t>
      </w:r>
      <w:r>
        <w:t>l outil de diagnostic dans un cadre scientifique résolument pluridisciplinaire associant chimie, physique et biologie.</w:t>
      </w:r>
    </w:p>
    <w:p w:rsidR="003E0564" w:rsidRDefault="0026379A">
      <w:pPr>
        <w:pBdr>
          <w:top w:val="single" w:sz="4" w:space="1" w:color="auto"/>
          <w:left w:val="single" w:sz="4" w:space="4" w:color="auto"/>
          <w:bottom w:val="single" w:sz="4" w:space="1" w:color="auto"/>
          <w:right w:val="single" w:sz="4" w:space="4" w:color="auto"/>
        </w:pBdr>
        <w:ind w:firstLine="708"/>
        <w:jc w:val="both"/>
      </w:pPr>
      <w:r>
        <w:t>Les détecteurs électrochimiques de ce projet sont constitués de matériaux composites contenant des poudres de zéolithes mélangées à des m</w:t>
      </w:r>
      <w:r>
        <w:t>étaux nobles nanostructurés et stabilisées dans une matrice inorganique à base de silice macroporeuse. Les zéolithes sont des adsorbants spécifiques qui permettent une réponse univoque lorsqu’ils sont en contact avec les molécules auxquelles ils sont sensi</w:t>
      </w:r>
      <w:r>
        <w:t>bles. Ce sont des aluminosilicates cristallisés et microporeux de taille de pores entre 0,2 et 2 nm. L’adsorption de molécules connues modifie de manière contrôlée les propriétés électrochimiques du matériau composite utilisé. Ces dernières sont mesurables</w:t>
      </w:r>
      <w:r>
        <w:t xml:space="preserve"> par des techniques de potentiométrie et de spectroscopie d’impédances complexes. Cette réponse spécifique rend très prometteuses les applications de cette technique de mesure au domaine de la santé, de l’environnement et de la sécurité.</w:t>
      </w:r>
    </w:p>
    <w:p w:rsidR="003E0564" w:rsidRDefault="0026379A">
      <w:pPr>
        <w:pBdr>
          <w:top w:val="single" w:sz="4" w:space="1" w:color="auto"/>
          <w:left w:val="single" w:sz="4" w:space="4" w:color="auto"/>
          <w:bottom w:val="single" w:sz="4" w:space="1" w:color="auto"/>
          <w:right w:val="single" w:sz="4" w:space="4" w:color="auto"/>
        </w:pBdr>
        <w:ind w:firstLine="708"/>
        <w:jc w:val="both"/>
      </w:pPr>
      <w:r>
        <w:t>L’utilisation de c</w:t>
      </w:r>
      <w:r>
        <w:t xml:space="preserve">ette nouvelle technologie de détecteurs est donc ambitieuse. Il s’agit de réaliser un transfert d’un savoir académique bien maîtrisé au MADIREL vers une application industrielle à fort potentiel de développement. L’analyse des données électrochimiques est </w:t>
      </w:r>
      <w:r>
        <w:t>également bien maîtrisée au sein du MADIREL. Les principaux efforts à fournir se situent donc au niveau de l’optimisation des matériaux, des étapes de synthèse et de fabrication des composites pour des détecteurs de gaz suffisamment sensibles et stables au</w:t>
      </w:r>
      <w:r>
        <w:t xml:space="preserve"> cours du temps. </w:t>
      </w:r>
    </w:p>
    <w:p w:rsidR="003E0564" w:rsidRDefault="003E0564">
      <w:pPr>
        <w:rPr>
          <w:rFonts w:ascii="Arial" w:hAnsi="Arial" w:cs="Arial"/>
          <w:b/>
          <w:bCs/>
        </w:rPr>
      </w:pPr>
    </w:p>
    <w:p w:rsidR="003E0564" w:rsidRDefault="003E0564">
      <w:pPr>
        <w:rPr>
          <w:rFonts w:ascii="Arial" w:hAnsi="Arial" w:cs="Arial"/>
          <w:b/>
          <w:bCs/>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sz w:val="16"/>
          <w:szCs w:val="16"/>
        </w:rPr>
      </w:pPr>
    </w:p>
    <w:p w:rsidR="003E0564" w:rsidRDefault="0026379A">
      <w:pPr>
        <w:numPr>
          <w:ilvl w:val="1"/>
          <w:numId w:val="16"/>
        </w:num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b/>
          <w:bCs/>
        </w:rPr>
        <w:t>Cadre général et objectifs du projet</w:t>
      </w:r>
      <w:r>
        <w:rPr>
          <w:rFonts w:ascii="Arial" w:hAnsi="Arial" w:cs="Arial"/>
          <w:b/>
          <w:bCs/>
          <w:sz w:val="20"/>
          <w:szCs w:val="20"/>
        </w:rPr>
        <w:t xml:space="preserve">. </w:t>
      </w:r>
    </w:p>
    <w:p w:rsidR="003E0564" w:rsidRDefault="003E0564">
      <w:pPr>
        <w:pBdr>
          <w:top w:val="single" w:sz="4" w:space="1" w:color="auto"/>
          <w:left w:val="single" w:sz="4" w:space="4" w:color="auto"/>
          <w:bottom w:val="single" w:sz="4" w:space="1" w:color="auto"/>
          <w:right w:val="single" w:sz="4" w:space="4" w:color="auto"/>
        </w:pBdr>
        <w:jc w:val="both"/>
        <w:rPr>
          <w:rFonts w:ascii="Arial" w:hAnsi="Arial" w:cs="Arial"/>
          <w:b/>
          <w:bCs/>
        </w:rPr>
      </w:pPr>
    </w:p>
    <w:p w:rsidR="003E0564" w:rsidRDefault="0026379A">
      <w:pPr>
        <w:pBdr>
          <w:top w:val="single" w:sz="4" w:space="1" w:color="auto"/>
          <w:left w:val="single" w:sz="4" w:space="4" w:color="auto"/>
          <w:bottom w:val="single" w:sz="4" w:space="1" w:color="auto"/>
          <w:right w:val="single" w:sz="4" w:space="4" w:color="auto"/>
        </w:pBdr>
        <w:ind w:firstLine="708"/>
        <w:jc w:val="both"/>
      </w:pPr>
      <w:r>
        <w:t xml:space="preserve">Bien qu’utilisés depuis plus de 50 ans, les détecteurs de gaz sont encore aujourd'hui en plein développement. Côté industriel, le marché global des capteurs chimiques et biochimiques connaît la </w:t>
      </w:r>
      <w:r>
        <w:t>plus forte progression (+9,6% par an) depuis la fin des années 2000 avec un volume de 15 milliards de dollars en 2010 (10% pour le seul marché des capteurs de gaz). Ils offrent potentiellement des applications dans les tous les domaines d’activités : envir</w:t>
      </w:r>
      <w:r>
        <w:t>onnement, santé, transport, cosmétiques, agroalimentaire, etc. On conçoit dès lors, que le marché de détecteurs de gaz à bas coût soit florissant et plein d'avenir. Les détecteurs commercialisés aujourd’hui utilisent pour la plupart des matériaux non compo</w:t>
      </w:r>
      <w:r>
        <w:t>sites et sont basés sur des techniques spectroscopiques et électrochimiques. Ce sont des techniques standard permettant la conception de capteurs performants. Mais leurs inconvénients sont multiples : consommation en puissance de l'ordre du Watt, prix de r</w:t>
      </w:r>
      <w:r>
        <w:t>evient élevé, complexité de leur électronique, etc. Avec l'émergence des micro/nanosystèmes, les dispositifs de détection se sont simplifiés, miniaturisés, sont devenus portables et intègrent dans un unique équipement, appelé nez électronique intégré, le (</w:t>
      </w:r>
      <w:r>
        <w:t xml:space="preserve">ou les) détecteurs, l'alimentation électrique, l'électronique de traitement des données et bien d'autres éléments. </w:t>
      </w:r>
    </w:p>
    <w:p w:rsidR="003E0564" w:rsidRDefault="0026379A">
      <w:pPr>
        <w:pBdr>
          <w:top w:val="single" w:sz="4" w:space="1" w:color="auto"/>
          <w:left w:val="single" w:sz="4" w:space="4" w:color="auto"/>
          <w:bottom w:val="single" w:sz="4" w:space="1" w:color="auto"/>
          <w:right w:val="single" w:sz="4" w:space="4" w:color="auto"/>
        </w:pBdr>
        <w:ind w:firstLine="708"/>
        <w:jc w:val="both"/>
      </w:pPr>
      <w:r>
        <w:rPr>
          <w:lang w:eastAsia="en-US"/>
        </w:rPr>
        <w:t>Dans le domaine de la santé, les détecteurs connaissent également des évolutions importantes. L’établissement de diagnostics médicaux peu co</w:t>
      </w:r>
      <w:r>
        <w:rPr>
          <w:lang w:eastAsia="en-US"/>
        </w:rPr>
        <w:t>ûteux, fiables avec des techniques simples et robustes reste en effet un enjeu important notamment pour le tiers monde. Le développement des techniques ‘labs on ship’ constituent de ce point de vue l’un des exemples les plus spectaculaires. D’autres approc</w:t>
      </w:r>
      <w:r>
        <w:rPr>
          <w:lang w:eastAsia="en-US"/>
        </w:rPr>
        <w:t>hes, basées sur l’évaporation de micro gouttes de sang sont également développées depuis quelques années.</w:t>
      </w:r>
      <w:r>
        <w:t xml:space="preserve"> </w:t>
      </w:r>
      <w:r>
        <w:lastRenderedPageBreak/>
        <w:t xml:space="preserve">Ces techniques nécessitent des conditions sanitaires parfois difficiles à remplir notamment lorsqu’il s’agit d’analyses sanguines. </w:t>
      </w:r>
      <w:r>
        <w:rPr>
          <w:lang w:eastAsia="en-US"/>
        </w:rPr>
        <w:t>Une alternative pos</w:t>
      </w:r>
      <w:r>
        <w:rPr>
          <w:lang w:eastAsia="en-US"/>
        </w:rPr>
        <w:t>sible est l’utilisation des biomarqueurs. Ceux-ci se retrouvent en nombre dans l’haleine humaine. Les méthodes d’analyse de l’haleine [1] peuvent être classées en deux grands groupes : (1) analyse en phase gazeuse, permettant la mesure directe des biomarqu</w:t>
      </w:r>
      <w:r>
        <w:rPr>
          <w:lang w:eastAsia="en-US"/>
        </w:rPr>
        <w:t>eurs intéressants et (2) l’analyse en phase liquide, i.e. l’exhalation condensée. Récemment les mesures se sont focalisées des groupes de marqueurs associés au stress oxydant : l’</w:t>
      </w:r>
      <w:r>
        <w:rPr>
          <w:bCs/>
          <w:lang w:eastAsia="en-US"/>
        </w:rPr>
        <w:t>oxyde nitrique et plus généralement les composés organiques volatiles (COV)</w:t>
      </w:r>
      <w:r>
        <w:rPr>
          <w:lang w:eastAsia="en-US"/>
        </w:rPr>
        <w:t xml:space="preserve">. </w:t>
      </w:r>
      <w:r>
        <w:rPr>
          <w:lang w:eastAsia="en-US"/>
        </w:rPr>
        <w:t>L’oxyde nitrique (NO) exhalé est un composé important pour la maîtrise de l’asthme chez les patients. Il est le plus couramment mesuré par chimiluminescence.</w:t>
      </w:r>
      <w:r>
        <w:rPr>
          <w:vertAlign w:val="superscript"/>
          <w:lang w:eastAsia="en-US"/>
        </w:rPr>
        <w:t xml:space="preserve"> </w:t>
      </w:r>
      <w:r>
        <w:rPr>
          <w:lang w:eastAsia="en-US"/>
        </w:rPr>
        <w:t>Les COVs peuvent être détectés par différentes méthodes [2]: analyse couplée par chromatographie e</w:t>
      </w:r>
      <w:r>
        <w:rPr>
          <w:lang w:eastAsia="en-US"/>
        </w:rPr>
        <w:t>n phase gazeuse/spectrométrie de masse, colorimétrie, spectrométrie à mobilité ionique (IMS), capteurs à base de nanoparticules d’or, nez électronique</w:t>
      </w:r>
      <w:r>
        <w:t>. Outre l’oxyde nitrique, les COVs les plus communs exhalés par l’humain sont : le décanal (C</w:t>
      </w:r>
      <w:r>
        <w:rPr>
          <w:vertAlign w:val="subscript"/>
        </w:rPr>
        <w:t>9</w:t>
      </w:r>
      <w:r>
        <w:t>H</w:t>
      </w:r>
      <w:r>
        <w:rPr>
          <w:vertAlign w:val="subscript"/>
        </w:rPr>
        <w:t>19</w:t>
      </w:r>
      <w:r>
        <w:t xml:space="preserve">CHO), le </w:t>
      </w:r>
      <w:r>
        <w:t>méthanol, l’acétone, l’isoprène, des cétones et aldéhydes, etc [3]. Mais seule l’analyse de NO est déjà utilisée cliniquement, celles de toutes les autres molécules n’en étant qu’au stade de recherche. La mise au point de techniques de détection non-invasi</w:t>
      </w:r>
      <w:r>
        <w:t xml:space="preserve">ves de ces molécules biomarqueurs gazeuses reste donc un problème largement ouvert. </w:t>
      </w:r>
    </w:p>
    <w:p w:rsidR="003E0564" w:rsidRDefault="0026379A">
      <w:pPr>
        <w:pBdr>
          <w:top w:val="single" w:sz="4" w:space="1" w:color="auto"/>
          <w:left w:val="single" w:sz="4" w:space="4" w:color="auto"/>
          <w:bottom w:val="single" w:sz="4" w:space="1" w:color="auto"/>
          <w:right w:val="single" w:sz="4" w:space="4" w:color="auto"/>
        </w:pBdr>
        <w:ind w:firstLine="708"/>
        <w:jc w:val="both"/>
        <w:rPr>
          <w:lang w:eastAsia="en-US"/>
        </w:rPr>
      </w:pPr>
      <w:r>
        <w:t>La recherche dans le domaine des biocapteurs est principalement tournée vers le processus hôte-invité. Il s’agit d’une technique de reconnaissance moléculaire dans laquell</w:t>
      </w:r>
      <w:r>
        <w:t>e le capteur en tant que hôte se lie sélectivement avec la molécule d’intérêt appelée analyte (« invitée »). Malgré ses avantages, cette technique ne permet pas une approche multi-biocapteur c'est-à-dire la détection simultanée de plusieurs analytes.</w:t>
      </w:r>
      <w:r>
        <w:rPr>
          <w:lang w:eastAsia="en-US"/>
        </w:rPr>
        <w:t xml:space="preserve"> </w:t>
      </w:r>
      <w:r>
        <w:t>Les n</w:t>
      </w:r>
      <w:r>
        <w:t>ez électroniques [3,4] qui ne fonctionnent pas selon ce principe hote-invité, utilisent une technologie basée sur les propriétés des nanomatériaux (nanotubes de carbone, nanoparticules d’or, microbalance à quartz, …) et peuvent détecter de 2 à 32 COVs. Mai</w:t>
      </w:r>
      <w:r>
        <w:t xml:space="preserve">s ils ont une sensibilité modérée dans les tests d’haleine. Ils permettent par exemple la détection du cancer des poumons mais cette faible sensibilité les rend efficaces et fiables seulement dans le cas de maladie en phase avancée. C'est-à-dire bien trop </w:t>
      </w:r>
      <w:r>
        <w:t>tard d’un point de vue du diagnostic médical. Cela démontre la nécessité d’améliorer ces détecteurs pour des analytes caractéristiques des prémices de la maladie de façon à pouvoir débuter les soins au plus tôt.</w:t>
      </w:r>
    </w:p>
    <w:p w:rsidR="003E0564" w:rsidRDefault="0026379A">
      <w:pPr>
        <w:pBdr>
          <w:top w:val="single" w:sz="4" w:space="1" w:color="auto"/>
          <w:left w:val="single" w:sz="4" w:space="4" w:color="auto"/>
          <w:bottom w:val="single" w:sz="4" w:space="1" w:color="auto"/>
          <w:right w:val="single" w:sz="4" w:space="4" w:color="auto"/>
        </w:pBdr>
        <w:ind w:firstLine="708"/>
        <w:jc w:val="both"/>
        <w:rPr>
          <w:bCs/>
        </w:rPr>
      </w:pPr>
      <w:r>
        <w:t xml:space="preserve">Les améliorations en sensibilité pourraient </w:t>
      </w:r>
      <w:r>
        <w:t>se faire soit au niveau d’un pré-traitement plus approprié et plus standardisé/automatisé des échantillons soit de l’augmentation de l’efficacité de capture des molécules d’intérêt [4]. Comme les COVs sont principalement de petits analytes, le développemen</w:t>
      </w:r>
      <w:r>
        <w:t xml:space="preserve">t des nez-électroniques traditionnels de type capteur gaz/vapeur permettant une meilleure sélectivité pourrait apporter un progrès important. Les propriétés remarquables des zéolithes sont, de ce point de vue, encore largement sous exploitée. </w:t>
      </w:r>
      <w:r>
        <w:rPr>
          <w:bCs/>
        </w:rPr>
        <w:t>Elles ont déj</w:t>
      </w:r>
      <w:r>
        <w:rPr>
          <w:bCs/>
        </w:rPr>
        <w:t xml:space="preserve">à été testées en tant qu’élément convertisseur d’un signal chimique en signal électrochimique [5-12]. Mais il existe encore d’énormes progrès à réaliser pour exploiter tout leur potentiel. </w:t>
      </w:r>
      <w:r>
        <w:t xml:space="preserve">C’est donc à l’amélioration de la sensibilité et de la sélectivité </w:t>
      </w:r>
      <w:r>
        <w:t>de tels capteurs que le MADIREL pourrait contribuer. L’idée principale étant d’intégrer des zéolithes dans les matériaux utilisés pour les détecteurs.</w:t>
      </w:r>
    </w:p>
    <w:p w:rsidR="003E0564" w:rsidRDefault="0026379A">
      <w:pPr>
        <w:pBdr>
          <w:top w:val="single" w:sz="4" w:space="1" w:color="auto"/>
          <w:left w:val="single" w:sz="4" w:space="4" w:color="auto"/>
          <w:bottom w:val="single" w:sz="4" w:space="1" w:color="auto"/>
          <w:right w:val="single" w:sz="4" w:space="4" w:color="auto"/>
        </w:pBdr>
        <w:ind w:firstLine="708"/>
        <w:jc w:val="both"/>
      </w:pPr>
      <w:r>
        <w:t xml:space="preserve">L’objectif de ce projet est donc de s’appuyer sur l’expertise du laboratoire MADIREL dans le domaine des </w:t>
      </w:r>
      <w:r>
        <w:t xml:space="preserve">composites pour </w:t>
      </w:r>
      <w:r>
        <w:rPr>
          <w:b/>
        </w:rPr>
        <w:t>synthétiser de nouveaux matériaux incluant des zéolithes</w:t>
      </w:r>
      <w:r>
        <w:t>. L’utilisation de matériaux nanostructurés (métaux nobles) et ultra spécifiques (zéolithes) permet en effet d'envisager de nouvelles générations de détecteurs de gaz utiles non seulem</w:t>
      </w:r>
      <w:r>
        <w:t xml:space="preserve">ent dans le domaine de la santé mais aussi dans celui de l’environnement. L’entreprise SETNAG, partenaire de ce projet </w:t>
      </w:r>
      <w:r>
        <w:rPr>
          <w:bCs/>
        </w:rPr>
        <w:t>(cf. lettre de soutien jointe au dossier)</w:t>
      </w:r>
      <w:r>
        <w:t>, est particulièrement intéressée par la fabrication industrielle et la commercialisation de tel</w:t>
      </w:r>
      <w:r>
        <w:t xml:space="preserve">les innovations. </w:t>
      </w:r>
    </w:p>
    <w:p w:rsidR="003E0564" w:rsidRDefault="003E0564">
      <w:pPr>
        <w:pBdr>
          <w:top w:val="single" w:sz="4" w:space="1" w:color="auto"/>
          <w:left w:val="single" w:sz="4" w:space="4" w:color="auto"/>
          <w:bottom w:val="single" w:sz="4" w:space="1" w:color="auto"/>
          <w:right w:val="single" w:sz="4" w:space="4" w:color="auto"/>
        </w:pBdr>
        <w:ind w:firstLine="708"/>
        <w:jc w:val="both"/>
      </w:pPr>
    </w:p>
    <w:p w:rsidR="003E0564" w:rsidRDefault="0026379A">
      <w:pPr>
        <w:pBdr>
          <w:top w:val="single" w:sz="4" w:space="1" w:color="auto"/>
          <w:left w:val="single" w:sz="4" w:space="4" w:color="auto"/>
          <w:bottom w:val="single" w:sz="4" w:space="1" w:color="auto"/>
          <w:right w:val="single" w:sz="4" w:space="4" w:color="auto"/>
        </w:pBdr>
        <w:jc w:val="both"/>
        <w:rPr>
          <w:b/>
        </w:rPr>
      </w:pPr>
      <w:r>
        <w:rPr>
          <w:b/>
        </w:rPr>
        <w:t>Références</w:t>
      </w:r>
    </w:p>
    <w:p w:rsidR="003E0564" w:rsidRPr="00EB54A4" w:rsidRDefault="0026379A">
      <w:pPr>
        <w:pBdr>
          <w:top w:val="single" w:sz="4" w:space="1" w:color="auto"/>
          <w:left w:val="single" w:sz="4" w:space="4" w:color="auto"/>
          <w:bottom w:val="single" w:sz="4" w:space="1" w:color="auto"/>
          <w:right w:val="single" w:sz="4" w:space="4" w:color="auto"/>
        </w:pBdr>
        <w:jc w:val="both"/>
        <w:rPr>
          <w:sz w:val="20"/>
          <w:szCs w:val="20"/>
          <w:lang w:val="en-US"/>
        </w:rPr>
      </w:pPr>
      <w:r w:rsidRPr="00EB54A4">
        <w:rPr>
          <w:sz w:val="20"/>
          <w:szCs w:val="20"/>
          <w:lang w:val="en-US"/>
        </w:rPr>
        <w:t>[1] Szulejko JE, McCulloch M, Jackson J, McKee DL, Walker JC, Solouki T. IEEE Sensors J, 2010,10,185–210</w:t>
      </w:r>
    </w:p>
    <w:p w:rsidR="003E0564" w:rsidRDefault="0026379A">
      <w:pPr>
        <w:pBdr>
          <w:top w:val="single" w:sz="4" w:space="1" w:color="auto"/>
          <w:left w:val="single" w:sz="4" w:space="4" w:color="auto"/>
          <w:bottom w:val="single" w:sz="4" w:space="1" w:color="auto"/>
          <w:right w:val="single" w:sz="4" w:space="4" w:color="auto"/>
        </w:pBdr>
        <w:ind w:left="360" w:hanging="360"/>
        <w:jc w:val="both"/>
        <w:rPr>
          <w:sz w:val="20"/>
          <w:szCs w:val="20"/>
        </w:rPr>
      </w:pPr>
      <w:r>
        <w:rPr>
          <w:sz w:val="20"/>
          <w:szCs w:val="20"/>
        </w:rPr>
        <w:t>[2] Phillips M, et al., Chest 123: 2115-2123, 2003</w:t>
      </w:r>
    </w:p>
    <w:p w:rsidR="003E0564" w:rsidRDefault="0026379A">
      <w:pPr>
        <w:pBdr>
          <w:top w:val="single" w:sz="4" w:space="1" w:color="auto"/>
          <w:left w:val="single" w:sz="4" w:space="4" w:color="auto"/>
          <w:bottom w:val="single" w:sz="4" w:space="1" w:color="auto"/>
          <w:right w:val="single" w:sz="4" w:space="4" w:color="auto"/>
        </w:pBdr>
        <w:ind w:left="360" w:hanging="360"/>
        <w:jc w:val="both"/>
        <w:rPr>
          <w:sz w:val="20"/>
          <w:szCs w:val="20"/>
        </w:rPr>
      </w:pPr>
      <w:r>
        <w:rPr>
          <w:sz w:val="20"/>
          <w:szCs w:val="20"/>
        </w:rPr>
        <w:t>[3] Di Natale, Macagnano A, Martinelli E, Paolesse R, D’Arcangelo</w:t>
      </w:r>
      <w:r>
        <w:rPr>
          <w:sz w:val="20"/>
          <w:szCs w:val="20"/>
        </w:rPr>
        <w:t xml:space="preserve"> G, et al.,  et al., Biosens </w:t>
      </w:r>
    </w:p>
    <w:p w:rsidR="003E0564" w:rsidRDefault="0026379A">
      <w:pPr>
        <w:pBdr>
          <w:top w:val="single" w:sz="4" w:space="1" w:color="auto"/>
          <w:left w:val="single" w:sz="4" w:space="4" w:color="auto"/>
          <w:bottom w:val="single" w:sz="4" w:space="1" w:color="auto"/>
          <w:right w:val="single" w:sz="4" w:space="4" w:color="auto"/>
        </w:pBdr>
        <w:ind w:left="360" w:hanging="360"/>
        <w:jc w:val="both"/>
        <w:rPr>
          <w:sz w:val="20"/>
          <w:szCs w:val="20"/>
          <w:lang w:val="en-US"/>
        </w:rPr>
      </w:pPr>
      <w:r>
        <w:rPr>
          <w:sz w:val="20"/>
          <w:szCs w:val="20"/>
          <w:lang w:val="en-US"/>
        </w:rPr>
        <w:t>[4] Phillips M, et al., Cancer Biomark 3: 95-109, 2007</w:t>
      </w:r>
    </w:p>
    <w:p w:rsidR="003E0564" w:rsidRDefault="0026379A">
      <w:pPr>
        <w:pBdr>
          <w:top w:val="single" w:sz="4" w:space="1" w:color="auto"/>
          <w:left w:val="single" w:sz="4" w:space="4" w:color="auto"/>
          <w:bottom w:val="single" w:sz="4" w:space="1" w:color="auto"/>
          <w:right w:val="single" w:sz="4" w:space="4" w:color="auto"/>
        </w:pBdr>
        <w:ind w:left="360" w:hanging="360"/>
        <w:jc w:val="both"/>
        <w:rPr>
          <w:sz w:val="20"/>
          <w:szCs w:val="20"/>
          <w:lang w:val="en-US"/>
        </w:rPr>
      </w:pPr>
      <w:r>
        <w:rPr>
          <w:sz w:val="20"/>
          <w:szCs w:val="20"/>
          <w:lang w:val="en-US"/>
        </w:rPr>
        <w:t>[5] Schaf, O.; Ghobarkar, H.; Knauth, P. Zeolites for chemical sensors. Edited By: Grimes, Craig A.; Dickey, Elizabeth C.; Pishko, Michael V. Encyclopedia of Sensors (2006</w:t>
      </w:r>
      <w:r>
        <w:rPr>
          <w:sz w:val="20"/>
          <w:szCs w:val="20"/>
          <w:lang w:val="en-US"/>
        </w:rPr>
        <w:t>), 10, 491-499.</w:t>
      </w:r>
    </w:p>
    <w:p w:rsidR="003E0564" w:rsidRDefault="0026379A">
      <w:pPr>
        <w:pBdr>
          <w:top w:val="single" w:sz="4" w:space="1" w:color="auto"/>
          <w:left w:val="single" w:sz="4" w:space="4" w:color="auto"/>
          <w:bottom w:val="single" w:sz="4" w:space="1" w:color="auto"/>
          <w:right w:val="single" w:sz="4" w:space="4" w:color="auto"/>
        </w:pBdr>
        <w:ind w:left="360" w:hanging="360"/>
        <w:jc w:val="both"/>
        <w:rPr>
          <w:sz w:val="20"/>
          <w:szCs w:val="20"/>
          <w:lang w:val="en-US"/>
        </w:rPr>
      </w:pPr>
      <w:r>
        <w:rPr>
          <w:sz w:val="20"/>
          <w:szCs w:val="20"/>
          <w:lang w:val="en-US"/>
        </w:rPr>
        <w:t xml:space="preserve">[6] Schaef, O.; Wernert, V.; Ghobarkar, H.; Knauth, P. Microporous Stilbite single crystals for alcohol sensing. Journal of Electroceramics (2006), 16(1), 93-98. </w:t>
      </w:r>
    </w:p>
    <w:p w:rsidR="003E0564" w:rsidRDefault="0026379A">
      <w:pPr>
        <w:pBdr>
          <w:top w:val="single" w:sz="4" w:space="1" w:color="auto"/>
          <w:left w:val="single" w:sz="4" w:space="4" w:color="auto"/>
          <w:bottom w:val="single" w:sz="4" w:space="1" w:color="auto"/>
          <w:right w:val="single" w:sz="4" w:space="4" w:color="auto"/>
        </w:pBdr>
        <w:ind w:left="360" w:hanging="360"/>
        <w:jc w:val="both"/>
        <w:rPr>
          <w:sz w:val="20"/>
          <w:szCs w:val="20"/>
          <w:lang w:val="en-US"/>
        </w:rPr>
      </w:pPr>
      <w:r>
        <w:rPr>
          <w:sz w:val="20"/>
          <w:szCs w:val="20"/>
          <w:lang w:val="en-US"/>
        </w:rPr>
        <w:lastRenderedPageBreak/>
        <w:t>[7] Schaf, O.; Ghobarkar, H.; Knauth, P. Sensor response of stilbite single c</w:t>
      </w:r>
      <w:r>
        <w:rPr>
          <w:sz w:val="20"/>
          <w:szCs w:val="20"/>
          <w:lang w:val="en-US"/>
        </w:rPr>
        <w:t>rystals under "in situ" conditions. Materials Research Society Symposium Proceedings (2003), 756, 187-192.</w:t>
      </w:r>
    </w:p>
    <w:p w:rsidR="003E0564" w:rsidRDefault="0026379A">
      <w:pPr>
        <w:pBdr>
          <w:top w:val="single" w:sz="4" w:space="1" w:color="auto"/>
          <w:left w:val="single" w:sz="4" w:space="4" w:color="auto"/>
          <w:bottom w:val="single" w:sz="4" w:space="1" w:color="auto"/>
          <w:right w:val="single" w:sz="4" w:space="4" w:color="auto"/>
        </w:pBdr>
        <w:ind w:left="360" w:hanging="360"/>
        <w:jc w:val="both"/>
        <w:rPr>
          <w:sz w:val="20"/>
          <w:szCs w:val="20"/>
          <w:lang w:val="en-US"/>
        </w:rPr>
      </w:pPr>
      <w:r>
        <w:rPr>
          <w:sz w:val="20"/>
          <w:szCs w:val="20"/>
          <w:lang w:val="en-US"/>
        </w:rPr>
        <w:t xml:space="preserve">[8] Schaf, O.; Ghobarkar, H.; Adolf, F.; Knauth, P. Influence of ions and molecules on single crystal zeolite conductivity under in situ conditions. </w:t>
      </w:r>
      <w:r>
        <w:rPr>
          <w:sz w:val="20"/>
          <w:szCs w:val="20"/>
          <w:lang w:val="en-US"/>
        </w:rPr>
        <w:t>Solid State Ionics (2001), 143(3,4), 433-444.</w:t>
      </w:r>
    </w:p>
    <w:p w:rsidR="003E0564" w:rsidRDefault="0026379A">
      <w:pPr>
        <w:pBdr>
          <w:top w:val="single" w:sz="4" w:space="1" w:color="auto"/>
          <w:left w:val="single" w:sz="4" w:space="4" w:color="auto"/>
          <w:bottom w:val="single" w:sz="4" w:space="1" w:color="auto"/>
          <w:right w:val="single" w:sz="4" w:space="4" w:color="auto"/>
        </w:pBdr>
        <w:ind w:left="360" w:hanging="360"/>
        <w:jc w:val="both"/>
        <w:rPr>
          <w:sz w:val="20"/>
          <w:szCs w:val="20"/>
          <w:lang w:val="en-US"/>
        </w:rPr>
      </w:pPr>
      <w:r>
        <w:rPr>
          <w:sz w:val="20"/>
          <w:szCs w:val="20"/>
          <w:lang w:val="en-US"/>
        </w:rPr>
        <w:t>[9] Schaf, O.; Ghobarkar, H.; Steinbach, A. C.; Guth, U. Basic investigations on zeolite application for electrochemical analysis. Fresenius' Journal of Analytical Chemistry (2000), 367(4), 388-392.</w:t>
      </w:r>
    </w:p>
    <w:p w:rsidR="003E0564" w:rsidRDefault="0026379A">
      <w:pPr>
        <w:pBdr>
          <w:top w:val="single" w:sz="4" w:space="1" w:color="auto"/>
          <w:left w:val="single" w:sz="4" w:space="4" w:color="auto"/>
          <w:bottom w:val="single" w:sz="4" w:space="1" w:color="auto"/>
          <w:right w:val="single" w:sz="4" w:space="4" w:color="auto"/>
        </w:pBdr>
        <w:ind w:left="360" w:hanging="360"/>
        <w:jc w:val="both"/>
        <w:rPr>
          <w:sz w:val="20"/>
          <w:szCs w:val="20"/>
          <w:lang w:val="en-US"/>
        </w:rPr>
      </w:pPr>
      <w:r>
        <w:rPr>
          <w:sz w:val="20"/>
          <w:szCs w:val="20"/>
          <w:lang w:val="en-US"/>
        </w:rPr>
        <w:t>[10] Schaf,</w:t>
      </w:r>
      <w:r>
        <w:rPr>
          <w:sz w:val="20"/>
          <w:szCs w:val="20"/>
          <w:lang w:val="en-US"/>
        </w:rPr>
        <w:t xml:space="preserve"> O.; Ghobarkar, H.; Guth, U. Effects of water and combustibles on single crystal zeolite conductivity. Ionics (1999), 5(1 &amp; 2), 1-9.</w:t>
      </w:r>
    </w:p>
    <w:p w:rsidR="003E0564" w:rsidRDefault="0026379A">
      <w:pPr>
        <w:pBdr>
          <w:top w:val="single" w:sz="4" w:space="1" w:color="auto"/>
          <w:left w:val="single" w:sz="4" w:space="4" w:color="auto"/>
          <w:bottom w:val="single" w:sz="4" w:space="1" w:color="auto"/>
          <w:right w:val="single" w:sz="4" w:space="4" w:color="auto"/>
        </w:pBdr>
        <w:ind w:left="360" w:hanging="360"/>
        <w:jc w:val="both"/>
        <w:rPr>
          <w:sz w:val="20"/>
          <w:szCs w:val="20"/>
          <w:lang w:val="en-US"/>
        </w:rPr>
      </w:pPr>
      <w:r>
        <w:rPr>
          <w:sz w:val="20"/>
          <w:szCs w:val="20"/>
          <w:lang w:val="en-US"/>
        </w:rPr>
        <w:t>[11] Schaf, O.; Ghobarkar, H.; Guth, U. Sensors for combustible gas components using modified single crystal zeolites. Ioni</w:t>
      </w:r>
      <w:r>
        <w:rPr>
          <w:sz w:val="20"/>
          <w:szCs w:val="20"/>
          <w:lang w:val="en-US"/>
        </w:rPr>
        <w:t>cs (1997), 3(3 &amp; 4), 282-288.</w:t>
      </w:r>
    </w:p>
    <w:p w:rsidR="003E0564" w:rsidRDefault="0026379A">
      <w:pPr>
        <w:pBdr>
          <w:top w:val="single" w:sz="4" w:space="1" w:color="auto"/>
          <w:left w:val="single" w:sz="4" w:space="4" w:color="auto"/>
          <w:bottom w:val="single" w:sz="4" w:space="1" w:color="auto"/>
          <w:right w:val="single" w:sz="4" w:space="4" w:color="auto"/>
        </w:pBdr>
        <w:ind w:left="360" w:hanging="360"/>
        <w:jc w:val="both"/>
        <w:rPr>
          <w:sz w:val="20"/>
          <w:szCs w:val="20"/>
          <w:lang w:val="en-US"/>
        </w:rPr>
      </w:pPr>
      <w:r>
        <w:rPr>
          <w:sz w:val="20"/>
          <w:szCs w:val="20"/>
          <w:lang w:val="en-US"/>
        </w:rPr>
        <w:t>[12] I. Marr, S. Reiss, G. Hagen, R. Moos, Sensor, 11(2011) 7736-7748.</w:t>
      </w:r>
    </w:p>
    <w:p w:rsidR="003E0564" w:rsidRDefault="003E0564">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p>
    <w:p w:rsidR="003E0564" w:rsidRDefault="003E0564">
      <w:pPr>
        <w:rPr>
          <w:rFonts w:ascii="Arial" w:hAnsi="Arial" w:cs="Arial"/>
          <w:sz w:val="20"/>
          <w:szCs w:val="20"/>
          <w:lang w:val="en-US"/>
        </w:rPr>
      </w:pPr>
    </w:p>
    <w:p w:rsidR="003E0564" w:rsidRDefault="0026379A">
      <w:pPr>
        <w:rPr>
          <w:rFonts w:ascii="Arial" w:hAnsi="Arial" w:cs="Arial"/>
          <w:b/>
          <w:bCs/>
        </w:rPr>
      </w:pPr>
      <w:r>
        <w:rPr>
          <w:rFonts w:ascii="Arial" w:hAnsi="Arial" w:cs="Arial"/>
          <w:b/>
          <w:bCs/>
        </w:rPr>
        <w:t>1-3 Caractère exploratoire</w:t>
      </w:r>
    </w:p>
    <w:p w:rsidR="003E0564" w:rsidRDefault="003E0564">
      <w:pPr>
        <w:rPr>
          <w:rFonts w:ascii="Arial" w:hAnsi="Arial" w:cs="Arial"/>
          <w:b/>
          <w:bCs/>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sz w:val="20"/>
          <w:szCs w:val="20"/>
        </w:rPr>
      </w:pPr>
    </w:p>
    <w:p w:rsidR="003E0564" w:rsidRDefault="0026379A">
      <w:pPr>
        <w:pBdr>
          <w:top w:val="single" w:sz="4" w:space="1" w:color="auto"/>
          <w:left w:val="single" w:sz="4" w:space="4" w:color="auto"/>
          <w:bottom w:val="single" w:sz="4" w:space="1" w:color="auto"/>
          <w:right w:val="single" w:sz="4" w:space="4" w:color="auto"/>
        </w:pBdr>
        <w:rPr>
          <w:rFonts w:ascii="Arial Narrow" w:hAnsi="Arial Narrow" w:cs="Arial Narrow"/>
          <w:b/>
          <w:bCs/>
        </w:rPr>
      </w:pPr>
      <w:r>
        <w:rPr>
          <w:rFonts w:ascii="Arial" w:hAnsi="Arial" w:cs="Arial"/>
          <w:b/>
          <w:bCs/>
        </w:rPr>
        <w:t>1.3.1 Originalité des nouveaux concepts ou des problématiques abordées</w:t>
      </w:r>
    </w:p>
    <w:p w:rsidR="003E0564" w:rsidRDefault="003E0564">
      <w:pPr>
        <w:pBdr>
          <w:top w:val="single" w:sz="4" w:space="1" w:color="auto"/>
          <w:left w:val="single" w:sz="4" w:space="4" w:color="auto"/>
          <w:bottom w:val="single" w:sz="4" w:space="1" w:color="auto"/>
          <w:right w:val="single" w:sz="4" w:space="4" w:color="auto"/>
        </w:pBdr>
        <w:rPr>
          <w:rFonts w:ascii="Arial Narrow" w:hAnsi="Arial Narrow" w:cs="Arial Narrow"/>
          <w:b/>
          <w:bCs/>
          <w:sz w:val="22"/>
          <w:szCs w:val="22"/>
        </w:rPr>
      </w:pPr>
    </w:p>
    <w:p w:rsidR="003E0564" w:rsidRDefault="0026379A">
      <w:pPr>
        <w:pBdr>
          <w:top w:val="single" w:sz="4" w:space="1" w:color="auto"/>
          <w:left w:val="single" w:sz="4" w:space="4" w:color="auto"/>
          <w:bottom w:val="single" w:sz="4" w:space="1" w:color="auto"/>
          <w:right w:val="single" w:sz="4" w:space="4" w:color="auto"/>
        </w:pBdr>
        <w:ind w:firstLine="360"/>
        <w:jc w:val="both"/>
        <w:rPr>
          <w:bCs/>
        </w:rPr>
      </w:pPr>
      <w:r>
        <w:rPr>
          <w:bCs/>
        </w:rPr>
        <w:t>Le saut conceptuel proposé dans ce projet est l’utilisation de zéolithes dans les détecteurs. Les zéolithes sont des monolithes microporeux présentant des propriétés d’adsorptions sélectives et connus pour avoir une bonne conductivité de surface. Leur cond</w:t>
      </w:r>
      <w:r>
        <w:rPr>
          <w:bCs/>
        </w:rPr>
        <w:t>uctivité électrique globale reste toutefois trop faible pour permettre des mesures électrochimiques significatives et ce, quelles que soient les molécules adsorbées  [5-11]. L’originalité de ce projet part du constat que leur association à des matériaux na</w:t>
      </w:r>
      <w:r>
        <w:rPr>
          <w:bCs/>
        </w:rPr>
        <w:t>nostructurés devrait permettre de mieux exploiter leur conductivité de surface et donc conduire à une technologie originale pour l’amélioration des capacités techniques des détecteurs. Les détecteurs à base de zéolithes sont actuellement très peu étudiés b</w:t>
      </w:r>
      <w:r>
        <w:rPr>
          <w:bCs/>
        </w:rPr>
        <w:t>ien qu’elles permettent une réponse électrochimique spécifique des molécules adsorbées. L’idée principale ici est de travailler avec des poudres de zéolithes et de les utiliser dans une matrice de polymère silicique macroporeux contenant des  nanoparticule</w:t>
      </w:r>
      <w:r>
        <w:rPr>
          <w:bCs/>
        </w:rPr>
        <w:t>s de métaux nobles. Ce projet ouvre donc toute une série d’axes de recherche originaux et novateurs dont les plus notables sont :</w:t>
      </w:r>
    </w:p>
    <w:p w:rsidR="003E0564" w:rsidRDefault="003E0564">
      <w:pPr>
        <w:pBdr>
          <w:top w:val="single" w:sz="4" w:space="1" w:color="auto"/>
          <w:left w:val="single" w:sz="4" w:space="4" w:color="auto"/>
          <w:bottom w:val="single" w:sz="4" w:space="1" w:color="auto"/>
          <w:right w:val="single" w:sz="4" w:space="4" w:color="auto"/>
        </w:pBdr>
        <w:ind w:left="360" w:hanging="360"/>
        <w:jc w:val="both"/>
        <w:rPr>
          <w:bCs/>
        </w:rPr>
      </w:pPr>
    </w:p>
    <w:p w:rsidR="003E0564" w:rsidRDefault="0026379A">
      <w:pPr>
        <w:pBdr>
          <w:top w:val="single" w:sz="4" w:space="1" w:color="auto"/>
          <w:left w:val="single" w:sz="4" w:space="4" w:color="auto"/>
          <w:bottom w:val="single" w:sz="4" w:space="1" w:color="auto"/>
          <w:right w:val="single" w:sz="4" w:space="4" w:color="auto"/>
        </w:pBdr>
        <w:ind w:left="360" w:hanging="360"/>
        <w:jc w:val="both"/>
        <w:rPr>
          <w:bCs/>
        </w:rPr>
      </w:pPr>
      <w:r>
        <w:rPr>
          <w:bCs/>
        </w:rPr>
        <w:t xml:space="preserve">- la possibilité d’améliorer la sensibilité des détecteurs par l’utilisation de zéolithes aux propriétés de sélectivité bien </w:t>
      </w:r>
      <w:r>
        <w:rPr>
          <w:bCs/>
        </w:rPr>
        <w:t>contrôlées. Les zéolithes utilisées au MADIREL constitueront une base d’étude pouvant ensuite être étendue à d’autres matériaux destinés à la détection d’autres molécules. Les changements de conductivité complexe induits par l’interaction avec les molécule</w:t>
      </w:r>
      <w:r>
        <w:rPr>
          <w:bCs/>
        </w:rPr>
        <w:t>s seront décrits.</w:t>
      </w:r>
    </w:p>
    <w:p w:rsidR="003E0564" w:rsidRDefault="003E0564">
      <w:pPr>
        <w:pBdr>
          <w:top w:val="single" w:sz="4" w:space="1" w:color="auto"/>
          <w:left w:val="single" w:sz="4" w:space="4" w:color="auto"/>
          <w:bottom w:val="single" w:sz="4" w:space="1" w:color="auto"/>
          <w:right w:val="single" w:sz="4" w:space="4" w:color="auto"/>
        </w:pBdr>
        <w:ind w:left="360" w:hanging="360"/>
        <w:jc w:val="both"/>
        <w:rPr>
          <w:bCs/>
          <w:lang w:eastAsia="en-US"/>
        </w:rPr>
      </w:pPr>
    </w:p>
    <w:p w:rsidR="003E0564" w:rsidRDefault="0026379A">
      <w:pPr>
        <w:pBdr>
          <w:top w:val="single" w:sz="4" w:space="1" w:color="auto"/>
          <w:left w:val="single" w:sz="4" w:space="4" w:color="auto"/>
          <w:bottom w:val="single" w:sz="4" w:space="1" w:color="auto"/>
          <w:right w:val="single" w:sz="4" w:space="4" w:color="auto"/>
        </w:pBdr>
        <w:ind w:left="360" w:hanging="360"/>
        <w:jc w:val="both"/>
        <w:rPr>
          <w:bCs/>
        </w:rPr>
      </w:pPr>
      <w:r>
        <w:rPr>
          <w:bCs/>
        </w:rPr>
        <w:t>- la prise en compte du fait que les structures zéolitiques les plus adsorbantes ne sont pas les meilleurs conducteurs ioniques. Leur recouvrement trop important peut inhiber les échanges électroniques et donc limiter l’intérêt du signal</w:t>
      </w:r>
      <w:r>
        <w:rPr>
          <w:bCs/>
        </w:rPr>
        <w:t xml:space="preserve"> d’impédance. Cela pose le problème de la contribution de la conductivité de la surface externe de la zéolithe sur la sensibilité totale de la zéolithe (toujours en fonction de la molécule adsorbée).</w:t>
      </w:r>
    </w:p>
    <w:p w:rsidR="003E0564" w:rsidRDefault="003E0564">
      <w:pPr>
        <w:pBdr>
          <w:top w:val="single" w:sz="4" w:space="1" w:color="auto"/>
          <w:left w:val="single" w:sz="4" w:space="4" w:color="auto"/>
          <w:bottom w:val="single" w:sz="4" w:space="1" w:color="auto"/>
          <w:right w:val="single" w:sz="4" w:space="4" w:color="auto"/>
        </w:pBdr>
        <w:ind w:left="360" w:hanging="360"/>
        <w:jc w:val="both"/>
        <w:rPr>
          <w:bCs/>
        </w:rPr>
      </w:pPr>
    </w:p>
    <w:p w:rsidR="003E0564" w:rsidRDefault="0026379A">
      <w:pPr>
        <w:pBdr>
          <w:top w:val="single" w:sz="4" w:space="1" w:color="auto"/>
          <w:left w:val="single" w:sz="4" w:space="4" w:color="auto"/>
          <w:bottom w:val="single" w:sz="4" w:space="1" w:color="auto"/>
          <w:right w:val="single" w:sz="4" w:space="4" w:color="auto"/>
        </w:pBdr>
        <w:ind w:left="360" w:hanging="360"/>
        <w:jc w:val="both"/>
        <w:rPr>
          <w:bCs/>
        </w:rPr>
      </w:pPr>
      <w:r>
        <w:rPr>
          <w:bCs/>
        </w:rPr>
        <w:t>- les propriétés et la sensibilité (non-spécifique et s</w:t>
      </w:r>
      <w:r>
        <w:rPr>
          <w:bCs/>
        </w:rPr>
        <w:t>pécifique) de la matrice silicique macroporeuse dans laquelle se trouvent des nanoparticules de métaux nobles mais aussi la sensibilité spécifique de ces nanonoparticules dans la matrice en présence et absence des zéolithes. D’importantes études des effets</w:t>
      </w:r>
      <w:r>
        <w:rPr>
          <w:bCs/>
        </w:rPr>
        <w:t xml:space="preserve"> liés à la matrice et à la capacité d’adsorption des zéolithes sont donc à réaliser.</w:t>
      </w:r>
    </w:p>
    <w:p w:rsidR="003E0564" w:rsidRDefault="003E0564">
      <w:pPr>
        <w:pBdr>
          <w:top w:val="single" w:sz="4" w:space="1" w:color="auto"/>
          <w:left w:val="single" w:sz="4" w:space="4" w:color="auto"/>
          <w:bottom w:val="single" w:sz="4" w:space="1" w:color="auto"/>
          <w:right w:val="single" w:sz="4" w:space="4" w:color="auto"/>
        </w:pBdr>
        <w:ind w:left="360" w:hanging="360"/>
        <w:jc w:val="both"/>
        <w:rPr>
          <w:bCs/>
        </w:rPr>
      </w:pPr>
    </w:p>
    <w:p w:rsidR="003E0564" w:rsidRDefault="0026379A">
      <w:pPr>
        <w:pBdr>
          <w:top w:val="single" w:sz="4" w:space="1" w:color="auto"/>
          <w:left w:val="single" w:sz="4" w:space="4" w:color="auto"/>
          <w:bottom w:val="single" w:sz="4" w:space="1" w:color="auto"/>
          <w:right w:val="single" w:sz="4" w:space="4" w:color="auto"/>
        </w:pBdr>
        <w:ind w:left="360" w:hanging="360"/>
        <w:jc w:val="both"/>
        <w:rPr>
          <w:bCs/>
          <w:lang w:eastAsia="en-US"/>
        </w:rPr>
      </w:pPr>
      <w:r>
        <w:rPr>
          <w:bCs/>
        </w:rPr>
        <w:t xml:space="preserve">- la possibilité </w:t>
      </w:r>
      <w:r>
        <w:t>de réaliser des mesures simultanées de plusieurs</w:t>
      </w:r>
      <w:r>
        <w:rPr>
          <w:bCs/>
          <w:lang w:eastAsia="en-US"/>
        </w:rPr>
        <w:t xml:space="preserve"> composés organiques volatiles. L’association de zéolithes aux propriétés de sélectivité différentes et d</w:t>
      </w:r>
      <w:r>
        <w:rPr>
          <w:bCs/>
          <w:lang w:eastAsia="en-US"/>
        </w:rPr>
        <w:t>e matériaux nanostructurés et de porosités contrôlées devrait  permettre une première approche à ce problème</w:t>
      </w:r>
    </w:p>
    <w:p w:rsidR="003E0564" w:rsidRDefault="003E0564">
      <w:pPr>
        <w:pBdr>
          <w:top w:val="single" w:sz="4" w:space="1" w:color="auto"/>
          <w:left w:val="single" w:sz="4" w:space="4" w:color="auto"/>
          <w:bottom w:val="single" w:sz="4" w:space="1" w:color="auto"/>
          <w:right w:val="single" w:sz="4" w:space="4" w:color="auto"/>
        </w:pBdr>
        <w:ind w:left="360" w:hanging="360"/>
        <w:jc w:val="both"/>
        <w:rPr>
          <w:bCs/>
        </w:rPr>
      </w:pPr>
    </w:p>
    <w:p w:rsidR="003E0564" w:rsidRDefault="0026379A">
      <w:pPr>
        <w:pBdr>
          <w:top w:val="single" w:sz="4" w:space="1" w:color="auto"/>
          <w:left w:val="single" w:sz="4" w:space="4" w:color="auto"/>
          <w:bottom w:val="single" w:sz="4" w:space="1" w:color="auto"/>
          <w:right w:val="single" w:sz="4" w:space="4" w:color="auto"/>
        </w:pBdr>
        <w:ind w:left="360" w:hanging="360"/>
        <w:jc w:val="both"/>
        <w:rPr>
          <w:bCs/>
        </w:rPr>
      </w:pPr>
      <w:r>
        <w:rPr>
          <w:bCs/>
        </w:rPr>
        <w:t xml:space="preserve">- l’étude des phénomènes d’hystérésis, </w:t>
      </w:r>
      <w:r>
        <w:t xml:space="preserve">de temps de réponse et </w:t>
      </w:r>
      <w:r>
        <w:rPr>
          <w:bCs/>
        </w:rPr>
        <w:t xml:space="preserve">de la dérive de la réponse électrochimique du matériau. </w:t>
      </w:r>
      <w:r>
        <w:t xml:space="preserve">L’idée ici est d’améliorer </w:t>
      </w:r>
      <w:r>
        <w:t>les performances des détecteurs notamment en termes de sensibilité, de sélectivité, de stabilité, de reproductibilité, de réversibilité, de temps de réponse et de recouvrement.</w:t>
      </w:r>
    </w:p>
    <w:p w:rsidR="003E0564" w:rsidRDefault="003E0564">
      <w:pPr>
        <w:pBdr>
          <w:top w:val="single" w:sz="4" w:space="1" w:color="auto"/>
          <w:left w:val="single" w:sz="4" w:space="4" w:color="auto"/>
          <w:bottom w:val="single" w:sz="4" w:space="1" w:color="auto"/>
          <w:right w:val="single" w:sz="4" w:space="4" w:color="auto"/>
        </w:pBdr>
        <w:jc w:val="both"/>
        <w:rPr>
          <w:bCs/>
        </w:rPr>
      </w:pPr>
    </w:p>
    <w:p w:rsidR="003E0564" w:rsidRDefault="003E0564">
      <w:pPr>
        <w:rPr>
          <w:rFonts w:ascii="Arial Narrow" w:hAnsi="Arial Narrow" w:cs="Arial Narrow"/>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Narrow" w:hAnsi="Arial Narrow" w:cs="Arial Narrow"/>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Narrow" w:hAnsi="Arial Narrow" w:cs="Arial Narrow"/>
          <w:sz w:val="16"/>
          <w:szCs w:val="16"/>
        </w:rPr>
      </w:pPr>
    </w:p>
    <w:p w:rsidR="003E0564" w:rsidRDefault="0026379A">
      <w:pPr>
        <w:pBdr>
          <w:top w:val="single" w:sz="4" w:space="1" w:color="auto"/>
          <w:left w:val="single" w:sz="4" w:space="4" w:color="auto"/>
          <w:bottom w:val="single" w:sz="4" w:space="1" w:color="auto"/>
          <w:right w:val="single" w:sz="4" w:space="4" w:color="auto"/>
        </w:pBdr>
        <w:rPr>
          <w:rFonts w:ascii="Arial" w:hAnsi="Arial" w:cs="Arial"/>
          <w:b/>
          <w:bCs/>
        </w:rPr>
      </w:pPr>
      <w:r>
        <w:rPr>
          <w:rFonts w:ascii="Arial" w:hAnsi="Arial" w:cs="Arial"/>
          <w:b/>
          <w:bCs/>
        </w:rPr>
        <w:t xml:space="preserve">1.3.2 Originalité des stratégies proposées pour lever des verrous dans des </w:t>
      </w:r>
      <w:r>
        <w:rPr>
          <w:rFonts w:ascii="Arial" w:hAnsi="Arial" w:cs="Arial"/>
          <w:b/>
          <w:bCs/>
        </w:rPr>
        <w:t>domaines de recherche déjà établis</w:t>
      </w: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rPr>
      </w:pPr>
    </w:p>
    <w:p w:rsidR="003E0564" w:rsidRDefault="0026379A">
      <w:pPr>
        <w:pBdr>
          <w:top w:val="single" w:sz="4" w:space="1" w:color="auto"/>
          <w:left w:val="single" w:sz="4" w:space="4" w:color="auto"/>
          <w:bottom w:val="single" w:sz="4" w:space="1" w:color="auto"/>
          <w:right w:val="single" w:sz="4" w:space="4" w:color="auto"/>
        </w:pBdr>
        <w:jc w:val="both"/>
        <w:rPr>
          <w:bCs/>
        </w:rPr>
      </w:pPr>
      <w:r>
        <w:rPr>
          <w:bCs/>
        </w:rPr>
        <w:t>La macroporosité, la présence de nanoparticules de métaux nobles et la présence de zéolithes posent le problème de la synthèse d’un tel matériau composite. C’est pourquoi ce projet s’articule autour de trois axes origina</w:t>
      </w:r>
      <w:r>
        <w:rPr>
          <w:bCs/>
        </w:rPr>
        <w:t>ux :</w:t>
      </w:r>
    </w:p>
    <w:p w:rsidR="003E0564" w:rsidRDefault="003E0564">
      <w:pPr>
        <w:pBdr>
          <w:top w:val="single" w:sz="4" w:space="1" w:color="auto"/>
          <w:left w:val="single" w:sz="4" w:space="4" w:color="auto"/>
          <w:bottom w:val="single" w:sz="4" w:space="1" w:color="auto"/>
          <w:right w:val="single" w:sz="4" w:space="4" w:color="auto"/>
        </w:pBdr>
        <w:jc w:val="both"/>
        <w:rPr>
          <w:bCs/>
        </w:rPr>
      </w:pPr>
    </w:p>
    <w:p w:rsidR="003E0564" w:rsidRDefault="0026379A">
      <w:pPr>
        <w:pBdr>
          <w:top w:val="single" w:sz="4" w:space="1" w:color="auto"/>
          <w:left w:val="single" w:sz="4" w:space="4" w:color="auto"/>
          <w:bottom w:val="single" w:sz="4" w:space="1" w:color="auto"/>
          <w:right w:val="single" w:sz="4" w:space="4" w:color="auto"/>
        </w:pBdr>
        <w:jc w:val="both"/>
        <w:rPr>
          <w:bCs/>
        </w:rPr>
      </w:pPr>
      <w:r>
        <w:rPr>
          <w:bCs/>
        </w:rPr>
        <w:t xml:space="preserve">- </w:t>
      </w:r>
      <w:r>
        <w:rPr>
          <w:b/>
          <w:bCs/>
        </w:rPr>
        <w:t xml:space="preserve">Axe 1 : Synthèse de zéolithes </w:t>
      </w:r>
      <w:r>
        <w:rPr>
          <w:bCs/>
        </w:rPr>
        <w:t xml:space="preserve">avec des propriétés électrochimiques spécifiques aux deux marqueurs de ce projet : </w:t>
      </w:r>
      <w:r>
        <w:t>l’oxyde nitrique et le décanal</w:t>
      </w:r>
      <w:r>
        <w:rPr>
          <w:bCs/>
        </w:rPr>
        <w:t>. Les zéolithes sont obtenues par synthèse hydrothermale à haute pression. La bonne conductivité électriq</w:t>
      </w:r>
      <w:r>
        <w:rPr>
          <w:bCs/>
        </w:rPr>
        <w:t>ue de surface des zéolithes, leurs propriétés d’adsorption ultra spécifiques et leur s</w:t>
      </w:r>
      <w:r>
        <w:t xml:space="preserve">ensibilité constituent les paramètres clefs de cette synthèse et plus globalement pour la performance des détecteurs. </w:t>
      </w:r>
      <w:r>
        <w:rPr>
          <w:bCs/>
        </w:rPr>
        <w:t>Cette technique de synthèse est originale et constit</w:t>
      </w:r>
      <w:r>
        <w:rPr>
          <w:bCs/>
        </w:rPr>
        <w:t>ue une expertise spécifique au MADIREL notamment pour les zéolithes d’</w:t>
      </w:r>
      <w:r>
        <w:t>aluminosilicates cristallisés et microporeux</w:t>
      </w:r>
      <w:r>
        <w:rPr>
          <w:bCs/>
        </w:rPr>
        <w:t>. Elle pourrait être utilisée pour la synthèse d’autres zéolithes de type VSV(Na) par exemple, rendues partiellement sémiconductrices par subs</w:t>
      </w:r>
      <w:r>
        <w:rPr>
          <w:bCs/>
        </w:rPr>
        <w:t xml:space="preserve">titution de l’aluminium par le zinc et pour la synthèse des nouvelles zéolithes zincosilicate (Li) avec des propriétés de sélectivité adaptées à d’autres marqueurs que ceux sur lesquels se concentre ce projet. </w:t>
      </w:r>
    </w:p>
    <w:p w:rsidR="003E0564" w:rsidRDefault="003E0564">
      <w:pPr>
        <w:pBdr>
          <w:top w:val="single" w:sz="4" w:space="1" w:color="auto"/>
          <w:left w:val="single" w:sz="4" w:space="4" w:color="auto"/>
          <w:bottom w:val="single" w:sz="4" w:space="1" w:color="auto"/>
          <w:right w:val="single" w:sz="4" w:space="4" w:color="auto"/>
        </w:pBdr>
        <w:jc w:val="both"/>
        <w:rPr>
          <w:bCs/>
        </w:rPr>
      </w:pPr>
    </w:p>
    <w:p w:rsidR="003E0564" w:rsidRDefault="0026379A">
      <w:pPr>
        <w:pBdr>
          <w:top w:val="single" w:sz="4" w:space="1" w:color="auto"/>
          <w:left w:val="single" w:sz="4" w:space="4" w:color="auto"/>
          <w:bottom w:val="single" w:sz="4" w:space="1" w:color="auto"/>
          <w:right w:val="single" w:sz="4" w:space="4" w:color="auto"/>
        </w:pBdr>
        <w:jc w:val="both"/>
      </w:pPr>
      <w:r>
        <w:rPr>
          <w:bCs/>
        </w:rPr>
        <w:t xml:space="preserve">- </w:t>
      </w:r>
      <w:r>
        <w:rPr>
          <w:b/>
          <w:bCs/>
        </w:rPr>
        <w:t xml:space="preserve">Axe 2 : Synthèse </w:t>
      </w:r>
      <w:r>
        <w:rPr>
          <w:b/>
        </w:rPr>
        <w:t>de nanoparticules de méta</w:t>
      </w:r>
      <w:r>
        <w:rPr>
          <w:b/>
        </w:rPr>
        <w:t>l noble et des matériaux macroporeux</w:t>
      </w:r>
      <w:r>
        <w:rPr>
          <w:b/>
          <w:bCs/>
        </w:rPr>
        <w:t xml:space="preserve">. </w:t>
      </w:r>
      <w:r>
        <w:rPr>
          <w:bCs/>
        </w:rPr>
        <w:t>Cette axe vise à lever les verrous concernant la synthèse d’une matrice</w:t>
      </w:r>
      <w:r>
        <w:t xml:space="preserve"> inorganique à base de silice macroporeuse et de nanoparticules de métaux nobles</w:t>
      </w:r>
      <w:r>
        <w:rPr>
          <w:bCs/>
        </w:rPr>
        <w:t xml:space="preserve">. Cette matrice doit permettre de connecter les zéolithes et ainsi </w:t>
      </w:r>
      <w:r>
        <w:rPr>
          <w:bCs/>
        </w:rPr>
        <w:t xml:space="preserve">faciliter la circulation des charges électriques. </w:t>
      </w:r>
      <w:r>
        <w:t xml:space="preserve">L’ajout de nanoparticules métalliques en faible quantité permet d’augmenter la conductivité de la matrice.Celle-ci doit </w:t>
      </w:r>
      <w:r>
        <w:rPr>
          <w:bCs/>
        </w:rPr>
        <w:t>également présenter une surface interne importante tout en ayant une bonne tenue mécan</w:t>
      </w:r>
      <w:r>
        <w:rPr>
          <w:bCs/>
        </w:rPr>
        <w:t>ique. Ces deux contraintes, pas toujours simples à concilier, s’avèrent indispensables pour l’élaboration de détecteurs. La macroporosité est fondamentale pour le passage des gaz à analyser : le flux de matière doit être suffisant pour permettre une détect</w:t>
      </w:r>
      <w:r>
        <w:rPr>
          <w:bCs/>
        </w:rPr>
        <w:t xml:space="preserve">ion fiable des molécules à analyser. Une grande surface interne permet par ailleurs l’obtention d’une surface réactionnelle bien plus importante que pour des matériaux classiques et donc une meilleure sensibilité. Enfin, une tenue mécanique suffisante est </w:t>
      </w:r>
      <w:r>
        <w:rPr>
          <w:bCs/>
        </w:rPr>
        <w:t>nécessaire pour assurer une bonne robustesse du composite et ainsi faciliter son utilisation dans les procédés industriels.</w:t>
      </w:r>
    </w:p>
    <w:p w:rsidR="003E0564" w:rsidRDefault="003E0564">
      <w:pPr>
        <w:pBdr>
          <w:top w:val="single" w:sz="4" w:space="1" w:color="auto"/>
          <w:left w:val="single" w:sz="4" w:space="4" w:color="auto"/>
          <w:bottom w:val="single" w:sz="4" w:space="1" w:color="auto"/>
          <w:right w:val="single" w:sz="4" w:space="4" w:color="auto"/>
        </w:pBdr>
        <w:jc w:val="both"/>
        <w:rPr>
          <w:bCs/>
        </w:rPr>
      </w:pPr>
    </w:p>
    <w:p w:rsidR="003E0564" w:rsidRDefault="0026379A">
      <w:pPr>
        <w:pBdr>
          <w:top w:val="single" w:sz="4" w:space="1" w:color="auto"/>
          <w:left w:val="single" w:sz="4" w:space="4" w:color="auto"/>
          <w:bottom w:val="single" w:sz="4" w:space="1" w:color="auto"/>
          <w:right w:val="single" w:sz="4" w:space="4" w:color="auto"/>
        </w:pBdr>
        <w:jc w:val="both"/>
      </w:pPr>
      <w:r>
        <w:t xml:space="preserve">- </w:t>
      </w:r>
      <w:r>
        <w:rPr>
          <w:b/>
        </w:rPr>
        <w:t>Axe 3 : Caractérisation du composite</w:t>
      </w:r>
      <w:r>
        <w:t>. Les matériaux présélectionnés dans les axes 1 et 2 seront mélangés et co-déposés sur un sub</w:t>
      </w:r>
      <w:r>
        <w:t>strat isolant (alumine ou silicium). Une électrode d’or en couche mince aura au préalable été déposée sur ce substrat de façon à assurer le contact électronique. Elle permettra les mesures électrochimiques d’impédance et de capacité sous différents régimes</w:t>
      </w:r>
      <w:r>
        <w:t xml:space="preserve"> de fréquence et en fonction des conditions atmosphériques, de température et de reproductibilité du signal.</w:t>
      </w:r>
    </w:p>
    <w:p w:rsidR="003E0564" w:rsidRDefault="003E0564">
      <w:pPr>
        <w:pBdr>
          <w:top w:val="single" w:sz="4" w:space="1" w:color="auto"/>
          <w:left w:val="single" w:sz="4" w:space="4" w:color="auto"/>
          <w:bottom w:val="single" w:sz="4" w:space="1" w:color="auto"/>
          <w:right w:val="single" w:sz="4" w:space="4" w:color="auto"/>
        </w:pBdr>
        <w:rPr>
          <w:rFonts w:ascii="Arial Narrow" w:hAnsi="Arial Narrow" w:cs="Arial Narrow"/>
          <w:sz w:val="20"/>
          <w:szCs w:val="20"/>
        </w:rPr>
      </w:pPr>
    </w:p>
    <w:p w:rsidR="003E0564" w:rsidRDefault="003E0564">
      <w:pPr>
        <w:rPr>
          <w:rFonts w:ascii="Arial Narrow" w:hAnsi="Arial Narrow" w:cs="Arial Narrow"/>
          <w:sz w:val="20"/>
          <w:szCs w:val="20"/>
        </w:rPr>
      </w:pPr>
    </w:p>
    <w:p w:rsidR="003E0564" w:rsidRDefault="003E0564">
      <w:pPr>
        <w:rPr>
          <w:rFonts w:ascii="Arial Narrow" w:hAnsi="Arial Narrow" w:cs="Arial Narrow"/>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Narrow" w:hAnsi="Arial Narrow" w:cs="Arial Narrow"/>
          <w:b/>
          <w:bCs/>
          <w:sz w:val="16"/>
          <w:szCs w:val="16"/>
        </w:rPr>
      </w:pPr>
    </w:p>
    <w:p w:rsidR="003E0564" w:rsidRDefault="0026379A">
      <w:pPr>
        <w:pBdr>
          <w:top w:val="single" w:sz="4" w:space="1" w:color="auto"/>
          <w:left w:val="single" w:sz="4" w:space="4" w:color="auto"/>
          <w:bottom w:val="single" w:sz="4" w:space="1" w:color="auto"/>
          <w:right w:val="single" w:sz="4" w:space="4" w:color="auto"/>
        </w:pBdr>
        <w:rPr>
          <w:rFonts w:ascii="Arial" w:hAnsi="Arial" w:cs="Arial"/>
          <w:b/>
          <w:bCs/>
        </w:rPr>
      </w:pPr>
      <w:r>
        <w:rPr>
          <w:rFonts w:ascii="Arial" w:hAnsi="Arial" w:cs="Arial"/>
          <w:b/>
          <w:bCs/>
        </w:rPr>
        <w:t>1.3.3 Perspectives en cas de succès</w:t>
      </w:r>
    </w:p>
    <w:p w:rsidR="003E0564" w:rsidRDefault="003E0564">
      <w:pPr>
        <w:pBdr>
          <w:top w:val="single" w:sz="4" w:space="1" w:color="auto"/>
          <w:left w:val="single" w:sz="4" w:space="4" w:color="auto"/>
          <w:bottom w:val="single" w:sz="4" w:space="1" w:color="auto"/>
          <w:right w:val="single" w:sz="4" w:space="4" w:color="auto"/>
        </w:pBdr>
        <w:rPr>
          <w:rFonts w:ascii="Arial Narrow" w:hAnsi="Arial Narrow" w:cs="Arial Narrow"/>
          <w:b/>
          <w:bCs/>
        </w:rPr>
      </w:pPr>
    </w:p>
    <w:p w:rsidR="003E0564" w:rsidRDefault="0026379A">
      <w:pPr>
        <w:pBdr>
          <w:top w:val="single" w:sz="4" w:space="1" w:color="auto"/>
          <w:left w:val="single" w:sz="4" w:space="4" w:color="auto"/>
          <w:bottom w:val="single" w:sz="4" w:space="1" w:color="auto"/>
          <w:right w:val="single" w:sz="4" w:space="4" w:color="auto"/>
        </w:pBdr>
        <w:ind w:firstLine="708"/>
        <w:jc w:val="both"/>
        <w:rPr>
          <w:bCs/>
        </w:rPr>
      </w:pPr>
      <w:r>
        <w:rPr>
          <w:bCs/>
        </w:rPr>
        <w:t xml:space="preserve">L’objectif de ce projet est la synthèse et la caractérisation d’un matériau composite contenant des zéolithes dont la sélectivité permettrait la détection </w:t>
      </w:r>
      <w:r>
        <w:t xml:space="preserve">de molécules marqueurs comme l'oxyde nitrique et le décanal dans l’haleine humaine. </w:t>
      </w:r>
      <w:r>
        <w:rPr>
          <w:bCs/>
        </w:rPr>
        <w:t xml:space="preserve">L’utilisation de </w:t>
      </w:r>
      <w:r>
        <w:rPr>
          <w:bCs/>
        </w:rPr>
        <w:t xml:space="preserve">zéolithes dans ce contexte constitue une première et devrait aboutir à l’émergence d’un nouveau concept de capteurs de gaz. </w:t>
      </w:r>
      <w:r>
        <w:t>Utilisés comme détecteurs, ces matériaux ouvrent en effet des perspectives originales tant dans le domaine de la santé que de l’envi</w:t>
      </w:r>
      <w:r>
        <w:t xml:space="preserve">ronnement. Bien que très fondamental, ce projet vise également à réaliser </w:t>
      </w:r>
      <w:r>
        <w:rPr>
          <w:bCs/>
        </w:rPr>
        <w:t>un transfert d’expertise du MADIREL vers l’industrie et notamment l’entreprise SETNAG. Il devrait en effet faire la démonstration de l’intérêt des zéolithes pour l’analyse qualitativ</w:t>
      </w:r>
      <w:r>
        <w:rPr>
          <w:bCs/>
        </w:rPr>
        <w:t>e et quantitative des gaz et donc permettre des développements commerciaux de premier plan. L’entreprise SETNAG souhaite, en cas de succès, produire et commercialiser ces nouveaux détecteurs.</w:t>
      </w:r>
    </w:p>
    <w:p w:rsidR="003E0564" w:rsidRDefault="0026379A">
      <w:pPr>
        <w:pBdr>
          <w:top w:val="single" w:sz="4" w:space="1" w:color="auto"/>
          <w:left w:val="single" w:sz="4" w:space="4" w:color="auto"/>
          <w:bottom w:val="single" w:sz="4" w:space="1" w:color="auto"/>
          <w:right w:val="single" w:sz="4" w:space="4" w:color="auto"/>
        </w:pBdr>
        <w:ind w:firstLine="708"/>
        <w:jc w:val="both"/>
        <w:rPr>
          <w:bCs/>
        </w:rPr>
      </w:pPr>
      <w:r>
        <w:rPr>
          <w:bCs/>
        </w:rPr>
        <w:lastRenderedPageBreak/>
        <w:t>En cas de succès, les procédés de synthèse et de caractérisation</w:t>
      </w:r>
      <w:r>
        <w:rPr>
          <w:bCs/>
        </w:rPr>
        <w:t xml:space="preserve">s de ce projet pourraient naturellement être étendus à la détection d’autres molécules gazeuses. La conception de détecteurs </w:t>
      </w:r>
      <w:r>
        <w:t>plus sensibles et à même de détecter simultanément plusieurs molécules pourrait également être envisagée. Un</w:t>
      </w:r>
      <w:r>
        <w:rPr>
          <w:bCs/>
        </w:rPr>
        <w:t xml:space="preserve"> rapprochement avec d’a</w:t>
      </w:r>
      <w:r>
        <w:rPr>
          <w:bCs/>
        </w:rPr>
        <w:t>utres partenaires industriels de la Région, liés notamment à l’environnement, pourrait alors être réalisé. Ce projet pourrait enfin, dans un cadre plus large, permettre d’utiliser les réseaux de recherche sur lesquels s’adosse le MADIREL pour la préparatio</w:t>
      </w:r>
      <w:r>
        <w:rPr>
          <w:bCs/>
        </w:rPr>
        <w:t>n projets nationaux (ANR) et internationaux (UE ou ESA).</w:t>
      </w: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sz w:val="20"/>
          <w:szCs w:val="20"/>
        </w:rPr>
      </w:pPr>
    </w:p>
    <w:p w:rsidR="003E0564" w:rsidRDefault="003E0564">
      <w:pPr>
        <w:rPr>
          <w:rFonts w:ascii="Arial" w:hAnsi="Arial" w:cs="Arial"/>
          <w:b/>
          <w:bCs/>
          <w:sz w:val="20"/>
          <w:szCs w:val="20"/>
        </w:rPr>
      </w:pPr>
    </w:p>
    <w:p w:rsidR="003E0564" w:rsidRDefault="003E0564">
      <w:pPr>
        <w:rPr>
          <w:rFonts w:ascii="Arial" w:hAnsi="Arial" w:cs="Arial"/>
          <w:b/>
          <w:bCs/>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sz w:val="20"/>
          <w:szCs w:val="20"/>
        </w:rPr>
      </w:pPr>
    </w:p>
    <w:p w:rsidR="003E0564" w:rsidRDefault="0026379A">
      <w:pPr>
        <w:pBdr>
          <w:top w:val="single" w:sz="4" w:space="1" w:color="auto"/>
          <w:left w:val="single" w:sz="4" w:space="4" w:color="auto"/>
          <w:bottom w:val="single" w:sz="4" w:space="1" w:color="auto"/>
          <w:right w:val="single" w:sz="4" w:space="4" w:color="auto"/>
        </w:pBdr>
        <w:rPr>
          <w:rFonts w:ascii="Arial" w:hAnsi="Arial" w:cs="Arial"/>
          <w:b/>
          <w:bCs/>
        </w:rPr>
      </w:pPr>
      <w:r>
        <w:rPr>
          <w:rFonts w:ascii="Arial" w:hAnsi="Arial" w:cs="Arial"/>
          <w:b/>
          <w:bCs/>
        </w:rPr>
        <w:t>1.4 Calendrier du projet :</w:t>
      </w: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sz w:val="22"/>
          <w:szCs w:val="22"/>
        </w:rPr>
      </w:pPr>
    </w:p>
    <w:p w:rsidR="003E0564" w:rsidRDefault="0026379A">
      <w:pPr>
        <w:pBdr>
          <w:top w:val="single" w:sz="4" w:space="1" w:color="auto"/>
          <w:left w:val="single" w:sz="4" w:space="4" w:color="auto"/>
          <w:bottom w:val="single" w:sz="4" w:space="1" w:color="auto"/>
          <w:right w:val="single" w:sz="4" w:space="4" w:color="auto"/>
        </w:pBdr>
        <w:rPr>
          <w:b/>
          <w:bCs/>
        </w:rPr>
      </w:pPr>
      <w:r>
        <w:rPr>
          <w:b/>
          <w:bCs/>
        </w:rPr>
        <w:t>Mois 0 à 9 : Synthèse des zéolithes et des matrices macroporeuses.</w:t>
      </w:r>
    </w:p>
    <w:p w:rsidR="003E0564" w:rsidRDefault="0026379A">
      <w:pPr>
        <w:pBdr>
          <w:top w:val="single" w:sz="4" w:space="1" w:color="auto"/>
          <w:left w:val="single" w:sz="4" w:space="4" w:color="auto"/>
          <w:bottom w:val="single" w:sz="4" w:space="1" w:color="auto"/>
          <w:right w:val="single" w:sz="4" w:space="4" w:color="auto"/>
        </w:pBdr>
        <w:jc w:val="both"/>
        <w:rPr>
          <w:bCs/>
        </w:rPr>
      </w:pPr>
      <w:r>
        <w:rPr>
          <w:bCs/>
        </w:rPr>
        <w:t xml:space="preserve">Dans cette première période, l’accent sera mis sur la synthèse des zéolithes et l’étude de leurs propriétés spécifiques d’adsorption. Il en sera de même pour la synthèse des nanoparticules et des matériaux macroporeux. </w:t>
      </w:r>
    </w:p>
    <w:p w:rsidR="003E0564" w:rsidRDefault="003E0564">
      <w:pPr>
        <w:pBdr>
          <w:top w:val="single" w:sz="4" w:space="1" w:color="auto"/>
          <w:left w:val="single" w:sz="4" w:space="4" w:color="auto"/>
          <w:bottom w:val="single" w:sz="4" w:space="1" w:color="auto"/>
          <w:right w:val="single" w:sz="4" w:space="4" w:color="auto"/>
        </w:pBdr>
        <w:rPr>
          <w:b/>
          <w:bCs/>
        </w:rPr>
      </w:pPr>
    </w:p>
    <w:p w:rsidR="003E0564" w:rsidRDefault="0026379A">
      <w:pPr>
        <w:pBdr>
          <w:top w:val="single" w:sz="4" w:space="1" w:color="auto"/>
          <w:left w:val="single" w:sz="4" w:space="4" w:color="auto"/>
          <w:bottom w:val="single" w:sz="4" w:space="1" w:color="auto"/>
          <w:right w:val="single" w:sz="4" w:space="4" w:color="auto"/>
        </w:pBdr>
        <w:rPr>
          <w:b/>
          <w:bCs/>
        </w:rPr>
      </w:pPr>
      <w:r>
        <w:rPr>
          <w:b/>
          <w:bCs/>
        </w:rPr>
        <w:t>Mois 3 à 18 : Formulation et format</w:t>
      </w:r>
      <w:r>
        <w:rPr>
          <w:b/>
          <w:bCs/>
        </w:rPr>
        <w:t xml:space="preserve">ion de couches </w:t>
      </w:r>
      <w:r>
        <w:rPr>
          <w:b/>
        </w:rPr>
        <w:t>sur substrat isolant.</w:t>
      </w:r>
    </w:p>
    <w:p w:rsidR="003E0564" w:rsidRDefault="0026379A">
      <w:pPr>
        <w:pBdr>
          <w:top w:val="single" w:sz="4" w:space="1" w:color="auto"/>
          <w:left w:val="single" w:sz="4" w:space="4" w:color="auto"/>
          <w:bottom w:val="single" w:sz="4" w:space="1" w:color="auto"/>
          <w:right w:val="single" w:sz="4" w:space="4" w:color="auto"/>
        </w:pBdr>
        <w:jc w:val="both"/>
        <w:rPr>
          <w:bCs/>
        </w:rPr>
      </w:pPr>
      <w:r>
        <w:rPr>
          <w:bCs/>
        </w:rPr>
        <w:t xml:space="preserve">Les composés sélectionnés dans la première période, seront ensuite associés les uns aux autres pour former le matériau composite. Les propriétés de ce composite vont dépendre de la formulation utilisée, et notamment de </w:t>
      </w:r>
      <w:r>
        <w:rPr>
          <w:bCs/>
        </w:rPr>
        <w:t>la proportion de zéolithes et de nanoparticules. Une attention particulière sera notamment prêtée à l’amélioration des propriétés de conductivité. Durant cette deuxième période, les composites créés seront déposés en couche sur des substrats isolants (CSI)</w:t>
      </w:r>
      <w:r>
        <w:rPr>
          <w:bCs/>
        </w:rPr>
        <w:t xml:space="preserve"> et la stabilité de ces systèmes en terme et contrainte électrique, thermique et de pression sera testée.</w:t>
      </w:r>
    </w:p>
    <w:p w:rsidR="003E0564" w:rsidRDefault="003E0564">
      <w:pPr>
        <w:pBdr>
          <w:top w:val="single" w:sz="4" w:space="1" w:color="auto"/>
          <w:left w:val="single" w:sz="4" w:space="4" w:color="auto"/>
          <w:bottom w:val="single" w:sz="4" w:space="1" w:color="auto"/>
          <w:right w:val="single" w:sz="4" w:space="4" w:color="auto"/>
        </w:pBdr>
        <w:jc w:val="both"/>
        <w:rPr>
          <w:bCs/>
        </w:rPr>
      </w:pPr>
    </w:p>
    <w:p w:rsidR="003E0564" w:rsidRDefault="0026379A">
      <w:pPr>
        <w:pBdr>
          <w:top w:val="single" w:sz="4" w:space="1" w:color="auto"/>
          <w:left w:val="single" w:sz="4" w:space="4" w:color="auto"/>
          <w:bottom w:val="single" w:sz="4" w:space="1" w:color="auto"/>
          <w:right w:val="single" w:sz="4" w:space="4" w:color="auto"/>
        </w:pBdr>
        <w:jc w:val="both"/>
        <w:rPr>
          <w:b/>
          <w:bCs/>
        </w:rPr>
      </w:pPr>
      <w:r>
        <w:rPr>
          <w:b/>
          <w:bCs/>
        </w:rPr>
        <w:t>Mois 18 à 24 : Caractérisation électrochimique et tests des capteurs.</w:t>
      </w:r>
    </w:p>
    <w:p w:rsidR="003E0564" w:rsidRDefault="0026379A">
      <w:pPr>
        <w:pBdr>
          <w:top w:val="single" w:sz="4" w:space="1" w:color="auto"/>
          <w:left w:val="single" w:sz="4" w:space="4" w:color="auto"/>
          <w:bottom w:val="single" w:sz="4" w:space="1" w:color="auto"/>
          <w:right w:val="single" w:sz="4" w:space="4" w:color="auto"/>
        </w:pBdr>
        <w:jc w:val="both"/>
        <w:rPr>
          <w:bCs/>
        </w:rPr>
      </w:pPr>
      <w:r>
        <w:rPr>
          <w:bCs/>
        </w:rPr>
        <w:t xml:space="preserve">Cette troisième période sera consacrée à la caractérisation des CSI par des </w:t>
      </w:r>
      <w:r>
        <w:t>mesures de spectrométrie d’impédance complexe sous environnement contrôlé en température et en pression. Ces mesures permettront de démontrer l’intérêt des matériaux composites utilisés, de mesurer leur sensibilité à la détection de molécules gazeuses et d</w:t>
      </w:r>
      <w:r>
        <w:t>e valider le cas échéant le concept de détecteurs de ce projet.</w:t>
      </w:r>
    </w:p>
    <w:p w:rsidR="003E0564" w:rsidRDefault="003E0564">
      <w:pPr>
        <w:pBdr>
          <w:top w:val="single" w:sz="4" w:space="1" w:color="auto"/>
          <w:left w:val="single" w:sz="4" w:space="4" w:color="auto"/>
          <w:bottom w:val="single" w:sz="4" w:space="1" w:color="auto"/>
          <w:right w:val="single" w:sz="4" w:space="4" w:color="auto"/>
        </w:pBdr>
        <w:rPr>
          <w:b/>
          <w:bCs/>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sz w:val="20"/>
          <w:szCs w:val="20"/>
        </w:rPr>
      </w:pPr>
    </w:p>
    <w:p w:rsidR="003E0564" w:rsidRDefault="003E0564">
      <w:pPr>
        <w:rPr>
          <w:rFonts w:ascii="Arial" w:hAnsi="Arial" w:cs="Arial"/>
          <w:b/>
          <w:bCs/>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26379A">
      <w:pPr>
        <w:pBdr>
          <w:top w:val="single" w:sz="4" w:space="1" w:color="auto"/>
          <w:left w:val="single" w:sz="4" w:space="4" w:color="auto"/>
          <w:bottom w:val="single" w:sz="4" w:space="1" w:color="auto"/>
          <w:right w:val="single" w:sz="4" w:space="4" w:color="auto"/>
        </w:pBdr>
        <w:rPr>
          <w:rFonts w:ascii="Arial" w:hAnsi="Arial" w:cs="Arial"/>
          <w:b/>
          <w:bCs/>
        </w:rPr>
      </w:pPr>
      <w:r>
        <w:rPr>
          <w:rFonts w:ascii="Arial" w:hAnsi="Arial" w:cs="Arial"/>
          <w:b/>
          <w:bCs/>
        </w:rPr>
        <w:t>1.5 Moyens d’équipement et de fonctionnement demandés</w:t>
      </w: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sz w:val="20"/>
          <w:szCs w:val="20"/>
        </w:rPr>
      </w:pPr>
    </w:p>
    <w:p w:rsidR="003E0564" w:rsidRDefault="0026379A">
      <w:pPr>
        <w:pBdr>
          <w:top w:val="single" w:sz="4" w:space="1" w:color="auto"/>
          <w:left w:val="single" w:sz="4" w:space="4" w:color="auto"/>
          <w:bottom w:val="single" w:sz="4" w:space="1" w:color="auto"/>
          <w:right w:val="single" w:sz="4" w:space="4" w:color="auto"/>
        </w:pBdr>
        <w:ind w:firstLine="708"/>
        <w:jc w:val="both"/>
        <w:rPr>
          <w:bCs/>
        </w:rPr>
      </w:pPr>
      <w:r>
        <w:rPr>
          <w:bCs/>
        </w:rPr>
        <w:t>Nous souhaiterions nous équiper d’un spectromètre d’impédance complexe, qui serait principalement destiné</w:t>
      </w:r>
      <w:r>
        <w:rPr>
          <w:bCs/>
          <w:strike/>
        </w:rPr>
        <w:t xml:space="preserve">s </w:t>
      </w:r>
      <w:r>
        <w:rPr>
          <w:bCs/>
        </w:rPr>
        <w:t>aux mesures électrochimiqu</w:t>
      </w:r>
      <w:r>
        <w:rPr>
          <w:bCs/>
        </w:rPr>
        <w:t>es. C’est l’outil principal de caractérisation de nos dispositifs. Des relevés de résistances et de capacités réguliers seront effectués ce qui demande une grande disponibilité de l’appareil de mesure. Le spectromètre d’impédance Zennium de la société ZAHN</w:t>
      </w:r>
      <w:r>
        <w:rPr>
          <w:bCs/>
        </w:rPr>
        <w:t>ER-elektrik GmbH est actuellement le meilleur équipement pour la réalisation de ces mesures.</w:t>
      </w: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sz w:val="20"/>
          <w:szCs w:val="20"/>
        </w:rPr>
      </w:pPr>
    </w:p>
    <w:p w:rsidR="003E0564" w:rsidRDefault="003E0564">
      <w:pPr>
        <w:rPr>
          <w:rFonts w:ascii="Arial" w:hAnsi="Arial" w:cs="Arial"/>
          <w:b/>
          <w:bCs/>
        </w:rPr>
      </w:pPr>
    </w:p>
    <w:p w:rsidR="003E0564" w:rsidRDefault="003E0564">
      <w:pPr>
        <w:pBdr>
          <w:top w:val="single" w:sz="4" w:space="1" w:color="auto"/>
          <w:left w:val="single" w:sz="4" w:space="4" w:color="auto"/>
          <w:bottom w:val="single" w:sz="4" w:space="1" w:color="auto"/>
          <w:right w:val="single" w:sz="4" w:space="4" w:color="auto"/>
        </w:pBdr>
        <w:jc w:val="both"/>
        <w:rPr>
          <w:rFonts w:ascii="Arial" w:hAnsi="Arial" w:cs="Arial"/>
          <w:b/>
          <w:bCs/>
          <w:sz w:val="20"/>
          <w:szCs w:val="20"/>
        </w:rPr>
      </w:pPr>
    </w:p>
    <w:p w:rsidR="003E0564" w:rsidRDefault="0026379A">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b/>
          <w:bCs/>
        </w:rPr>
        <w:t xml:space="preserve">1.6 Actions de diffusion scientifique envisagées </w:t>
      </w:r>
      <w:r>
        <w:rPr>
          <w:rFonts w:ascii="Arial" w:hAnsi="Arial" w:cs="Arial"/>
          <w:sz w:val="20"/>
          <w:szCs w:val="20"/>
        </w:rPr>
        <w:t>(indiquer le type de public visé, les collaborations éventuelles avec des partenaires…)</w:t>
      </w:r>
    </w:p>
    <w:p w:rsidR="003E0564" w:rsidRDefault="003E0564">
      <w:pPr>
        <w:pBdr>
          <w:top w:val="single" w:sz="4" w:space="1" w:color="auto"/>
          <w:left w:val="single" w:sz="4" w:space="4" w:color="auto"/>
          <w:bottom w:val="single" w:sz="4" w:space="1" w:color="auto"/>
          <w:right w:val="single" w:sz="4" w:space="4" w:color="auto"/>
        </w:pBdr>
        <w:rPr>
          <w:rFonts w:ascii="Arial Narrow" w:hAnsi="Arial Narrow" w:cs="Arial Narrow"/>
          <w:sz w:val="20"/>
          <w:szCs w:val="20"/>
        </w:rPr>
      </w:pPr>
    </w:p>
    <w:p w:rsidR="003E0564" w:rsidRDefault="003E0564">
      <w:pPr>
        <w:pBdr>
          <w:top w:val="single" w:sz="4" w:space="1" w:color="auto"/>
          <w:left w:val="single" w:sz="4" w:space="4" w:color="auto"/>
          <w:bottom w:val="single" w:sz="4" w:space="1" w:color="auto"/>
          <w:right w:val="single" w:sz="4" w:space="4" w:color="auto"/>
        </w:pBdr>
        <w:jc w:val="both"/>
      </w:pPr>
    </w:p>
    <w:p w:rsidR="003E0564" w:rsidRDefault="0026379A">
      <w:pPr>
        <w:pBdr>
          <w:top w:val="single" w:sz="4" w:space="1" w:color="auto"/>
          <w:left w:val="single" w:sz="4" w:space="4" w:color="auto"/>
          <w:bottom w:val="single" w:sz="4" w:space="1" w:color="auto"/>
          <w:right w:val="single" w:sz="4" w:space="4" w:color="auto"/>
        </w:pBdr>
        <w:jc w:val="both"/>
      </w:pPr>
      <w:r>
        <w:rPr>
          <w:b/>
        </w:rPr>
        <w:t>D’un point de vue aca</w:t>
      </w:r>
      <w:r>
        <w:rPr>
          <w:b/>
        </w:rPr>
        <w:t>démique</w:t>
      </w:r>
      <w:r>
        <w:t>, les résultats du projet de recherche seront diffusés par publication dans des journaux scientifiques internationaux et lors de conférences dans des congrès nationaux et internationaux. Comme il devrait  démontrer la faisabilité de nouveaux capteur</w:t>
      </w:r>
      <w:r>
        <w:t xml:space="preserve">s chimiques en couche à base de </w:t>
      </w:r>
      <w:r>
        <w:rPr>
          <w:bCs/>
        </w:rPr>
        <w:t>zéolithes</w:t>
      </w:r>
      <w:r>
        <w:t xml:space="preserve">, il constituera également un socle sur lequel s’appuieront des demandes d’ANRs ou de projets européens. Le sujet pourra alors être élargi au domaine de l’environnement. Dans ce contexte, un </w:t>
      </w:r>
      <w:r>
        <w:lastRenderedPageBreak/>
        <w:t>rapprochement vers les é</w:t>
      </w:r>
      <w:r>
        <w:t>quipes du CEREGE ou du LCA du site de l’Arbois pourrait naturellement s’opérer.</w:t>
      </w:r>
    </w:p>
    <w:p w:rsidR="003E0564" w:rsidRDefault="0026379A">
      <w:pPr>
        <w:pBdr>
          <w:top w:val="single" w:sz="4" w:space="1" w:color="auto"/>
          <w:left w:val="single" w:sz="4" w:space="4" w:color="auto"/>
          <w:bottom w:val="single" w:sz="4" w:space="1" w:color="auto"/>
          <w:right w:val="single" w:sz="4" w:space="4" w:color="auto"/>
        </w:pBdr>
        <w:jc w:val="both"/>
      </w:pPr>
      <w:r>
        <w:rPr>
          <w:b/>
        </w:rPr>
        <w:t>D’un point de vue technique</w:t>
      </w:r>
      <w:r>
        <w:t xml:space="preserve">, ce projet devrait générer un nouveau savoir-faire basé sur la nanotechnologie appliquée aux détecteurs composites. L’utilisation de matériaux contenant des </w:t>
      </w:r>
      <w:r>
        <w:rPr>
          <w:bCs/>
        </w:rPr>
        <w:t>zéolithes</w:t>
      </w:r>
      <w:r>
        <w:t xml:space="preserve"> ouvre de ce point de vue des perspectives remarquables. Cet aspect du projet pourrait êt</w:t>
      </w:r>
      <w:r>
        <w:t>re valorisé par la prise de brevets.</w:t>
      </w:r>
    </w:p>
    <w:p w:rsidR="003E0564" w:rsidRDefault="0026379A">
      <w:pPr>
        <w:pBdr>
          <w:top w:val="single" w:sz="4" w:space="1" w:color="auto"/>
          <w:left w:val="single" w:sz="4" w:space="4" w:color="auto"/>
          <w:bottom w:val="single" w:sz="4" w:space="1" w:color="auto"/>
          <w:right w:val="single" w:sz="4" w:space="4" w:color="auto"/>
        </w:pBdr>
        <w:jc w:val="both"/>
      </w:pPr>
      <w:r>
        <w:rPr>
          <w:b/>
        </w:rPr>
        <w:t xml:space="preserve">D’un point de vue industriel, </w:t>
      </w:r>
      <w:r>
        <w:t xml:space="preserve">l’intérêt de la société </w:t>
      </w:r>
      <w:r>
        <w:rPr>
          <w:bCs/>
        </w:rPr>
        <w:t>SETNAG</w:t>
      </w:r>
      <w:r>
        <w:t xml:space="preserve"> à s’associer comme partenaire de ce projet démontre le potentiel sous-jacent à l’élaboration de nouveaux capteurs. La sélectivité et les sensibilités attendue</w:t>
      </w:r>
      <w:r>
        <w:t>s pourraient en effet conduire à l’ouverture d’importants marchés dans le domaine de la santé, de la sécurité et de l’environnement. Cela pourrait faire émerger de nouvelles demandes, motiver l’élaboration d’autres matériaux composites mais dans le cadre d</w:t>
      </w:r>
      <w:r>
        <w:t>e partenariats recherche/industrie élargis.</w:t>
      </w:r>
    </w:p>
    <w:p w:rsidR="003E0564" w:rsidRDefault="0026379A">
      <w:pPr>
        <w:pBdr>
          <w:top w:val="single" w:sz="4" w:space="1" w:color="auto"/>
          <w:left w:val="single" w:sz="4" w:space="4" w:color="auto"/>
          <w:bottom w:val="single" w:sz="4" w:space="1" w:color="auto"/>
          <w:right w:val="single" w:sz="4" w:space="4" w:color="auto"/>
        </w:pBdr>
        <w:rPr>
          <w:rFonts w:ascii="Arial Narrow" w:hAnsi="Arial Narrow" w:cs="Arial Narrow"/>
          <w:b/>
          <w:bCs/>
          <w:sz w:val="16"/>
          <w:szCs w:val="16"/>
        </w:rPr>
      </w:pPr>
      <w:r>
        <w:rPr>
          <w:rFonts w:ascii="Arial" w:hAnsi="Arial" w:cs="Arial"/>
          <w:b/>
          <w:bCs/>
        </w:rPr>
        <w:br w:type="page"/>
      </w:r>
    </w:p>
    <w:p w:rsidR="003E0564" w:rsidRDefault="003E0564">
      <w:pPr>
        <w:pBdr>
          <w:top w:val="single" w:sz="4" w:space="1" w:color="auto"/>
          <w:left w:val="single" w:sz="4" w:space="4" w:color="auto"/>
          <w:bottom w:val="single" w:sz="4" w:space="1" w:color="auto"/>
          <w:right w:val="single" w:sz="4" w:space="4" w:color="auto"/>
        </w:pBdr>
        <w:jc w:val="both"/>
        <w:rPr>
          <w:rFonts w:ascii="Arial" w:hAnsi="Arial" w:cs="Arial"/>
          <w:b/>
          <w:bCs/>
        </w:rPr>
      </w:pPr>
    </w:p>
    <w:p w:rsidR="003E0564" w:rsidRDefault="0026379A">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b/>
          <w:bCs/>
        </w:rPr>
        <w:t xml:space="preserve">1.7 Publications du porteur de projet </w:t>
      </w:r>
      <w:r>
        <w:rPr>
          <w:rFonts w:ascii="Arial" w:hAnsi="Arial" w:cs="Arial"/>
          <w:sz w:val="22"/>
          <w:szCs w:val="22"/>
        </w:rPr>
        <w:t>(</w:t>
      </w:r>
      <w:r>
        <w:rPr>
          <w:rFonts w:ascii="Arial" w:hAnsi="Arial" w:cs="Arial"/>
          <w:sz w:val="20"/>
          <w:szCs w:val="20"/>
        </w:rPr>
        <w:t>et des éventuels participants au projet</w:t>
      </w:r>
      <w:r>
        <w:rPr>
          <w:rFonts w:ascii="Arial" w:hAnsi="Arial" w:cs="Arial"/>
          <w:sz w:val="22"/>
          <w:szCs w:val="22"/>
        </w:rPr>
        <w:t>)</w:t>
      </w:r>
    </w:p>
    <w:p w:rsidR="003E0564" w:rsidRDefault="0026379A">
      <w:pPr>
        <w:pBdr>
          <w:top w:val="single" w:sz="4" w:space="1" w:color="auto"/>
          <w:left w:val="single" w:sz="4" w:space="4" w:color="auto"/>
          <w:bottom w:val="single" w:sz="4" w:space="1" w:color="auto"/>
          <w:right w:val="single" w:sz="4" w:space="4" w:color="auto"/>
        </w:pBdr>
        <w:jc w:val="both"/>
        <w:rPr>
          <w:rFonts w:ascii="Arial" w:hAnsi="Arial" w:cs="Arial"/>
          <w:color w:val="FF0000"/>
          <w:sz w:val="20"/>
          <w:szCs w:val="20"/>
        </w:rPr>
      </w:pPr>
      <w:r>
        <w:rPr>
          <w:rFonts w:ascii="Arial" w:hAnsi="Arial" w:cs="Arial"/>
          <w:sz w:val="20"/>
          <w:szCs w:val="20"/>
        </w:rPr>
        <w:t xml:space="preserve">N’indiquer que les publications des 5 dernières années parues dans des journaux internationaux à comité de lecture. Indiquer le </w:t>
      </w:r>
      <w:r>
        <w:rPr>
          <w:rFonts w:ascii="Arial" w:hAnsi="Arial" w:cs="Arial"/>
          <w:sz w:val="20"/>
          <w:szCs w:val="20"/>
        </w:rPr>
        <w:t>nombre de brevets déposés dans les 10 dernières années.</w:t>
      </w:r>
    </w:p>
    <w:p w:rsidR="003E0564" w:rsidRDefault="003E0564">
      <w:pPr>
        <w:pStyle w:val="Paragraphedeliste"/>
        <w:tabs>
          <w:tab w:val="left" w:pos="284"/>
        </w:tabs>
        <w:autoSpaceDE w:val="0"/>
        <w:autoSpaceDN w:val="0"/>
        <w:adjustRightInd w:val="0"/>
        <w:spacing w:after="0" w:line="240" w:lineRule="auto"/>
        <w:ind w:left="0"/>
        <w:jc w:val="both"/>
        <w:rPr>
          <w:rFonts w:ascii="Arial" w:eastAsia="Times New Roman" w:hAnsi="Arial" w:cs="Arial"/>
          <w:color w:val="000000"/>
          <w:sz w:val="20"/>
          <w:szCs w:val="20"/>
          <w:lang w:eastAsia="fr-FR"/>
        </w:rPr>
      </w:pPr>
    </w:p>
    <w:p w:rsidR="003E0564" w:rsidRDefault="0026379A">
      <w:pPr>
        <w:pStyle w:val="Paragraphedeliste"/>
        <w:tabs>
          <w:tab w:val="left" w:pos="284"/>
        </w:tabs>
        <w:autoSpaceDE w:val="0"/>
        <w:autoSpaceDN w:val="0"/>
        <w:adjustRightInd w:val="0"/>
        <w:spacing w:after="0" w:line="240" w:lineRule="auto"/>
        <w:ind w:left="0"/>
        <w:jc w:val="both"/>
        <w:rPr>
          <w:rFonts w:ascii="Arial" w:eastAsia="Times New Roman" w:hAnsi="Arial" w:cs="Arial"/>
          <w:sz w:val="20"/>
          <w:szCs w:val="20"/>
          <w:lang w:val="en-US" w:eastAsia="fr-FR"/>
        </w:rPr>
      </w:pPr>
      <w:r>
        <w:rPr>
          <w:rFonts w:ascii="Arial" w:eastAsia="Times New Roman" w:hAnsi="Arial" w:cs="Arial"/>
          <w:sz w:val="20"/>
          <w:szCs w:val="20"/>
          <w:lang w:val="en-US" w:eastAsia="fr-FR"/>
        </w:rPr>
        <w:t xml:space="preserve">1. Berge-Lefranc, D.; Pizzala, H.; Paillaud, J. L.; </w:t>
      </w:r>
      <w:r>
        <w:rPr>
          <w:rFonts w:ascii="Arial" w:eastAsia="Times New Roman" w:hAnsi="Arial" w:cs="Arial"/>
          <w:color w:val="FF0000"/>
          <w:sz w:val="20"/>
          <w:szCs w:val="20"/>
          <w:lang w:val="en-US" w:eastAsia="fr-FR"/>
        </w:rPr>
        <w:t>Schaef, O</w:t>
      </w:r>
      <w:r>
        <w:rPr>
          <w:rFonts w:ascii="Arial" w:eastAsia="Times New Roman" w:hAnsi="Arial" w:cs="Arial"/>
          <w:sz w:val="20"/>
          <w:szCs w:val="20"/>
          <w:lang w:val="en-US" w:eastAsia="fr-FR"/>
        </w:rPr>
        <w:t>.; Vagner, C.; Boulet, P.; Kuchta, B.; Denoyel, R. Adsorption of small uremic toxin molecules on MFI type zeolites from aqueous solution.</w:t>
      </w:r>
    </w:p>
    <w:p w:rsidR="003E0564" w:rsidRDefault="0026379A">
      <w:pPr>
        <w:autoSpaceDE w:val="0"/>
        <w:autoSpaceDN w:val="0"/>
        <w:adjustRightInd w:val="0"/>
        <w:jc w:val="both"/>
        <w:rPr>
          <w:rFonts w:ascii="Arial" w:hAnsi="Arial" w:cs="Arial"/>
          <w:sz w:val="20"/>
          <w:szCs w:val="20"/>
          <w:lang w:val="en-GB"/>
        </w:rPr>
      </w:pPr>
      <w:r>
        <w:rPr>
          <w:rFonts w:ascii="Arial" w:hAnsi="Arial" w:cs="Arial"/>
          <w:sz w:val="20"/>
          <w:szCs w:val="20"/>
          <w:lang w:val="en-GB"/>
        </w:rPr>
        <w:t xml:space="preserve">Adsorption (2008), 14(2/3), 377-387. </w:t>
      </w:r>
    </w:p>
    <w:p w:rsidR="003E0564" w:rsidRDefault="0026379A">
      <w:pPr>
        <w:autoSpaceDE w:val="0"/>
        <w:autoSpaceDN w:val="0"/>
        <w:adjustRightInd w:val="0"/>
        <w:spacing w:before="120"/>
        <w:jc w:val="both"/>
        <w:rPr>
          <w:rFonts w:ascii="Arial" w:hAnsi="Arial" w:cs="Arial"/>
          <w:sz w:val="20"/>
          <w:szCs w:val="20"/>
          <w:lang w:val="en-GB"/>
        </w:rPr>
      </w:pPr>
      <w:r>
        <w:rPr>
          <w:rFonts w:ascii="Arial" w:hAnsi="Arial" w:cs="Arial"/>
          <w:sz w:val="20"/>
          <w:szCs w:val="20"/>
          <w:lang w:val="en-GB"/>
        </w:rPr>
        <w:t xml:space="preserve">2. Berge-Lefranc, David; Eyraud, Marielle; </w:t>
      </w:r>
      <w:r>
        <w:rPr>
          <w:rFonts w:ascii="Arial" w:hAnsi="Arial" w:cs="Arial"/>
          <w:color w:val="FF0000"/>
          <w:sz w:val="20"/>
          <w:szCs w:val="20"/>
          <w:lang w:val="en-GB"/>
        </w:rPr>
        <w:t>Schaef, Oliver</w:t>
      </w:r>
      <w:r>
        <w:rPr>
          <w:rFonts w:ascii="Arial" w:hAnsi="Arial" w:cs="Arial"/>
          <w:sz w:val="20"/>
          <w:szCs w:val="20"/>
          <w:lang w:val="en-GB"/>
        </w:rPr>
        <w:t>.: Electrochemical determination of p-cresol concentration using zeolite-modified electrodes. Comptes Rendus Chimie (2008), 11(9), 1063-1073.</w:t>
      </w:r>
    </w:p>
    <w:p w:rsidR="003E0564" w:rsidRDefault="0026379A">
      <w:pPr>
        <w:autoSpaceDE w:val="0"/>
        <w:autoSpaceDN w:val="0"/>
        <w:adjustRightInd w:val="0"/>
        <w:spacing w:before="120"/>
        <w:jc w:val="both"/>
        <w:rPr>
          <w:rFonts w:ascii="Arial" w:hAnsi="Arial" w:cs="Arial"/>
          <w:sz w:val="20"/>
          <w:szCs w:val="20"/>
          <w:lang w:val="en-GB"/>
        </w:rPr>
      </w:pPr>
      <w:r>
        <w:rPr>
          <w:rFonts w:ascii="Arial" w:hAnsi="Arial" w:cs="Arial"/>
          <w:sz w:val="20"/>
          <w:szCs w:val="20"/>
          <w:lang w:val="en-GB"/>
        </w:rPr>
        <w:t>3. Berge-Lefranc</w:t>
      </w:r>
      <w:r>
        <w:rPr>
          <w:rFonts w:ascii="Arial" w:hAnsi="Arial" w:cs="Arial"/>
          <w:sz w:val="20"/>
          <w:szCs w:val="20"/>
          <w:lang w:val="en-GB"/>
        </w:rPr>
        <w:t xml:space="preserve">, David; Pizzala, Helene; Denoyel, Renaud; Hornebecq, Virginie; Berge-Lefranc, Jean-Louis; Guieu,Regis; Brunet, Philippe; Ghobarkar, Habib; </w:t>
      </w:r>
      <w:r>
        <w:rPr>
          <w:rFonts w:ascii="Arial" w:hAnsi="Arial" w:cs="Arial"/>
          <w:color w:val="FF0000"/>
          <w:sz w:val="20"/>
          <w:szCs w:val="20"/>
          <w:lang w:val="en-GB"/>
        </w:rPr>
        <w:t xml:space="preserve">Schaf, Oliver. </w:t>
      </w:r>
      <w:r>
        <w:rPr>
          <w:rFonts w:ascii="Arial" w:hAnsi="Arial" w:cs="Arial"/>
          <w:sz w:val="20"/>
          <w:szCs w:val="20"/>
          <w:lang w:val="en-GB"/>
        </w:rPr>
        <w:t>Mechanism of creatinine adsorption from physiological solutions onto mordenite. Microporous and Mesop</w:t>
      </w:r>
      <w:r>
        <w:rPr>
          <w:rFonts w:ascii="Arial" w:hAnsi="Arial" w:cs="Arial"/>
          <w:sz w:val="20"/>
          <w:szCs w:val="20"/>
          <w:lang w:val="en-GB"/>
        </w:rPr>
        <w:t>orous Materials (2009), 119(1-3), 186-192.</w:t>
      </w:r>
    </w:p>
    <w:p w:rsidR="003E0564" w:rsidRDefault="0026379A">
      <w:pPr>
        <w:autoSpaceDE w:val="0"/>
        <w:autoSpaceDN w:val="0"/>
        <w:adjustRightInd w:val="0"/>
        <w:spacing w:before="120"/>
        <w:jc w:val="both"/>
        <w:rPr>
          <w:rFonts w:ascii="Arial" w:hAnsi="Arial" w:cs="Arial"/>
          <w:sz w:val="20"/>
          <w:szCs w:val="20"/>
          <w:lang w:val="en-GB"/>
        </w:rPr>
      </w:pPr>
      <w:r>
        <w:rPr>
          <w:rFonts w:ascii="Arial" w:hAnsi="Arial" w:cs="Arial"/>
          <w:sz w:val="20"/>
          <w:szCs w:val="20"/>
          <w:lang w:val="en-GB"/>
        </w:rPr>
        <w:t xml:space="preserve">4. Narasimhan, L.; Boulet, Pascal; Kuchta, Bogdan; </w:t>
      </w:r>
      <w:r>
        <w:rPr>
          <w:rFonts w:ascii="Arial" w:hAnsi="Arial" w:cs="Arial"/>
          <w:color w:val="FF0000"/>
          <w:sz w:val="20"/>
          <w:szCs w:val="20"/>
          <w:lang w:val="en-GB"/>
        </w:rPr>
        <w:t>Schaef, Oliver</w:t>
      </w:r>
      <w:r>
        <w:rPr>
          <w:rFonts w:ascii="Arial" w:hAnsi="Arial" w:cs="Arial"/>
          <w:sz w:val="20"/>
          <w:szCs w:val="20"/>
          <w:lang w:val="en-GB"/>
        </w:rPr>
        <w:t>; Denoyel, Renaud; Brunet, Philippe. Molecular Simulations of Water and Paracresol in MFI Zeolite: A Monte Carlo Study. Langmuir (2009), 25(19), 115</w:t>
      </w:r>
      <w:r>
        <w:rPr>
          <w:rFonts w:ascii="Arial" w:hAnsi="Arial" w:cs="Arial"/>
          <w:sz w:val="20"/>
          <w:szCs w:val="20"/>
          <w:lang w:val="en-GB"/>
        </w:rPr>
        <w:t>98-11607.</w:t>
      </w:r>
    </w:p>
    <w:p w:rsidR="003E0564" w:rsidRDefault="0026379A">
      <w:pPr>
        <w:autoSpaceDE w:val="0"/>
        <w:autoSpaceDN w:val="0"/>
        <w:adjustRightInd w:val="0"/>
        <w:spacing w:before="120"/>
        <w:jc w:val="both"/>
        <w:rPr>
          <w:lang w:val="en-GB"/>
        </w:rPr>
      </w:pPr>
      <w:r>
        <w:rPr>
          <w:rFonts w:ascii="Arial" w:hAnsi="Arial" w:cs="Arial"/>
          <w:sz w:val="20"/>
          <w:szCs w:val="20"/>
          <w:lang w:val="en-GB"/>
        </w:rPr>
        <w:t xml:space="preserve">5. Boulet, Pascal; Narasimhan, L.; Berge-Lefranc, David; Kuchta, Bogdan; </w:t>
      </w:r>
      <w:r>
        <w:rPr>
          <w:rFonts w:ascii="Arial" w:hAnsi="Arial" w:cs="Arial"/>
          <w:color w:val="FF0000"/>
          <w:sz w:val="20"/>
          <w:szCs w:val="20"/>
          <w:lang w:val="en-GB"/>
        </w:rPr>
        <w:t>Schaf, Oliver</w:t>
      </w:r>
      <w:r>
        <w:rPr>
          <w:rFonts w:ascii="Arial" w:hAnsi="Arial" w:cs="Arial"/>
          <w:sz w:val="20"/>
          <w:szCs w:val="20"/>
          <w:lang w:val="en-GB"/>
        </w:rPr>
        <w:t>; Denoyel, Renaud. Adsorption into the MFI zeolite of aromatic molecule of biological relevance. investigations by Monte Carlo simulations. Journal of Molecular</w:t>
      </w:r>
      <w:r>
        <w:rPr>
          <w:rFonts w:ascii="Arial" w:hAnsi="Arial" w:cs="Arial"/>
          <w:sz w:val="20"/>
          <w:szCs w:val="20"/>
          <w:lang w:val="en-GB"/>
        </w:rPr>
        <w:t xml:space="preserve"> Modeling (2009), 15(6), 573-579.</w:t>
      </w:r>
    </w:p>
    <w:p w:rsidR="003E0564" w:rsidRDefault="0026379A">
      <w:pPr>
        <w:autoSpaceDE w:val="0"/>
        <w:autoSpaceDN w:val="0"/>
        <w:adjustRightInd w:val="0"/>
        <w:spacing w:before="120"/>
        <w:jc w:val="both"/>
        <w:rPr>
          <w:rFonts w:ascii="Arial" w:hAnsi="Arial" w:cs="Arial"/>
          <w:sz w:val="20"/>
          <w:szCs w:val="20"/>
          <w:lang w:val="en-GB"/>
        </w:rPr>
      </w:pPr>
      <w:r>
        <w:rPr>
          <w:rFonts w:ascii="Arial" w:hAnsi="Arial" w:cs="Arial"/>
          <w:sz w:val="20"/>
          <w:szCs w:val="20"/>
          <w:lang w:val="en-GB"/>
        </w:rPr>
        <w:t xml:space="preserve">6. Berge-Lefranc, David; </w:t>
      </w:r>
      <w:r>
        <w:rPr>
          <w:rFonts w:ascii="Arial" w:hAnsi="Arial" w:cs="Arial"/>
          <w:color w:val="FF0000"/>
          <w:sz w:val="20"/>
          <w:szCs w:val="20"/>
          <w:lang w:val="en-GB"/>
        </w:rPr>
        <w:t>Schaf, Oliver</w:t>
      </w:r>
      <w:r>
        <w:rPr>
          <w:rFonts w:ascii="Arial" w:hAnsi="Arial" w:cs="Arial"/>
          <w:sz w:val="20"/>
          <w:szCs w:val="20"/>
          <w:lang w:val="en-GB"/>
        </w:rPr>
        <w:t>; Denoyel, Renaud; Berge-Lefranc, Jean-Louis; Guieu, Regis; Brunet, Philippe; Hornebecq, Virginie. The extraction of creatinine from a physiological medium by a microporous solid and i</w:t>
      </w:r>
      <w:r>
        <w:rPr>
          <w:rFonts w:ascii="Arial" w:hAnsi="Arial" w:cs="Arial"/>
          <w:sz w:val="20"/>
          <w:szCs w:val="20"/>
          <w:lang w:val="en-GB"/>
        </w:rPr>
        <w:t>ts quantification by diffuse reflectance UV spectroscopy. Microporous and Mesoporous Materials (2010), 129(1-2), 144-148.</w:t>
      </w:r>
    </w:p>
    <w:p w:rsidR="003E0564" w:rsidRDefault="0026379A">
      <w:pPr>
        <w:autoSpaceDE w:val="0"/>
        <w:autoSpaceDN w:val="0"/>
        <w:adjustRightInd w:val="0"/>
        <w:spacing w:before="120"/>
        <w:jc w:val="both"/>
        <w:rPr>
          <w:rFonts w:ascii="Arial" w:hAnsi="Arial" w:cs="Arial"/>
          <w:sz w:val="20"/>
          <w:szCs w:val="20"/>
          <w:lang w:val="en-GB"/>
        </w:rPr>
      </w:pPr>
      <w:r>
        <w:rPr>
          <w:rFonts w:ascii="Arial" w:hAnsi="Arial" w:cs="Arial"/>
          <w:sz w:val="20"/>
          <w:szCs w:val="20"/>
          <w:lang w:val="en-GB"/>
        </w:rPr>
        <w:t xml:space="preserve">7. Narasimhan, L.; Boulet, Pascal; Kuchta, Bogdan; Vagner, Christelle; </w:t>
      </w:r>
      <w:r>
        <w:rPr>
          <w:rFonts w:ascii="Arial" w:hAnsi="Arial" w:cs="Arial"/>
          <w:color w:val="FF0000"/>
          <w:sz w:val="20"/>
          <w:szCs w:val="20"/>
          <w:lang w:val="en-GB"/>
        </w:rPr>
        <w:t>Schaef, Oliver</w:t>
      </w:r>
      <w:r>
        <w:rPr>
          <w:rFonts w:ascii="Arial" w:hAnsi="Arial" w:cs="Arial"/>
          <w:sz w:val="20"/>
          <w:szCs w:val="20"/>
          <w:lang w:val="en-GB"/>
        </w:rPr>
        <w:t>; Denoyel, Renaud. Adsorption of paracresol in si</w:t>
      </w:r>
      <w:r>
        <w:rPr>
          <w:rFonts w:ascii="Arial" w:hAnsi="Arial" w:cs="Arial"/>
          <w:sz w:val="20"/>
          <w:szCs w:val="20"/>
          <w:lang w:val="en-GB"/>
        </w:rPr>
        <w:t>licalite-1 and pure silica faujasite. A comparison study using molecular simulation. Applied Surface Science (2010), 256(17), 5470-5474.</w:t>
      </w:r>
    </w:p>
    <w:p w:rsidR="003E0564" w:rsidRDefault="0026379A">
      <w:pPr>
        <w:autoSpaceDE w:val="0"/>
        <w:autoSpaceDN w:val="0"/>
        <w:adjustRightInd w:val="0"/>
        <w:spacing w:before="120"/>
        <w:jc w:val="both"/>
        <w:rPr>
          <w:rFonts w:ascii="Arial" w:hAnsi="Arial" w:cs="Arial"/>
          <w:sz w:val="20"/>
          <w:szCs w:val="20"/>
          <w:lang w:val="en-GB"/>
        </w:rPr>
      </w:pPr>
      <w:r>
        <w:rPr>
          <w:rFonts w:ascii="Arial" w:hAnsi="Arial" w:cs="Arial"/>
          <w:sz w:val="20"/>
          <w:szCs w:val="20"/>
          <w:lang w:val="en-GB"/>
        </w:rPr>
        <w:t xml:space="preserve">8. Pellegrino, Perrine; Mallet, Bernard; Delliaux, Stephane; Jammes, Yves; Guieu, Regis; </w:t>
      </w:r>
      <w:r>
        <w:rPr>
          <w:rFonts w:ascii="Arial" w:hAnsi="Arial" w:cs="Arial"/>
          <w:color w:val="FF0000"/>
          <w:sz w:val="20"/>
          <w:szCs w:val="20"/>
          <w:lang w:val="en-GB"/>
        </w:rPr>
        <w:t>Schaef, Oliver</w:t>
      </w:r>
      <w:r>
        <w:rPr>
          <w:rFonts w:ascii="Arial" w:hAnsi="Arial" w:cs="Arial"/>
          <w:sz w:val="20"/>
          <w:szCs w:val="20"/>
          <w:lang w:val="en-GB"/>
        </w:rPr>
        <w:t>. Zeolites are e</w:t>
      </w:r>
      <w:r>
        <w:rPr>
          <w:rFonts w:ascii="Arial" w:hAnsi="Arial" w:cs="Arial"/>
          <w:sz w:val="20"/>
          <w:szCs w:val="20"/>
          <w:lang w:val="en-GB"/>
        </w:rPr>
        <w:t>ffective ROS-scavengers in vitro. Biochemical and Biophysical Research Communications (2011), 410(3), 478-483.</w:t>
      </w:r>
    </w:p>
    <w:p w:rsidR="003E0564" w:rsidRDefault="0026379A">
      <w:pPr>
        <w:autoSpaceDE w:val="0"/>
        <w:autoSpaceDN w:val="0"/>
        <w:adjustRightInd w:val="0"/>
        <w:spacing w:before="120"/>
        <w:jc w:val="both"/>
        <w:rPr>
          <w:rFonts w:ascii="Arial" w:hAnsi="Arial" w:cs="Arial"/>
          <w:sz w:val="20"/>
          <w:szCs w:val="20"/>
          <w:lang w:val="en-GB"/>
        </w:rPr>
      </w:pPr>
      <w:r>
        <w:rPr>
          <w:rFonts w:ascii="Arial" w:hAnsi="Arial" w:cs="Arial"/>
          <w:sz w:val="20"/>
          <w:szCs w:val="20"/>
          <w:lang w:val="en-GB"/>
        </w:rPr>
        <w:t xml:space="preserve">9. Berge-Lefranc, D.; Vagner, C.; Calaf, R.; Pizzala, H.; Denoyel, R.; Brunet, P.; Ghobarkar, H.; </w:t>
      </w:r>
      <w:r>
        <w:rPr>
          <w:rFonts w:ascii="Arial" w:hAnsi="Arial" w:cs="Arial"/>
          <w:color w:val="FF0000"/>
          <w:sz w:val="20"/>
          <w:szCs w:val="20"/>
          <w:lang w:val="en-GB"/>
        </w:rPr>
        <w:t>Schaef, O</w:t>
      </w:r>
      <w:r>
        <w:rPr>
          <w:rFonts w:ascii="Arial" w:hAnsi="Arial" w:cs="Arial"/>
          <w:sz w:val="20"/>
          <w:szCs w:val="20"/>
          <w:lang w:val="en-GB"/>
        </w:rPr>
        <w:t>. In vitro elimination of protein bound uremic toxin p-cresol by MFI-type zeolites. Microporous and Mesoporous Materials (2012), 153, 288-293.</w:t>
      </w:r>
    </w:p>
    <w:p w:rsidR="003E0564" w:rsidRDefault="0026379A">
      <w:pPr>
        <w:autoSpaceDE w:val="0"/>
        <w:autoSpaceDN w:val="0"/>
        <w:adjustRightInd w:val="0"/>
        <w:spacing w:before="120"/>
        <w:jc w:val="both"/>
        <w:rPr>
          <w:rFonts w:ascii="Arial" w:hAnsi="Arial" w:cs="Arial"/>
          <w:sz w:val="20"/>
          <w:szCs w:val="20"/>
          <w:lang w:val="en-GB"/>
        </w:rPr>
      </w:pPr>
      <w:r>
        <w:rPr>
          <w:rFonts w:ascii="Arial" w:hAnsi="Arial" w:cs="Arial"/>
          <w:sz w:val="20"/>
          <w:szCs w:val="20"/>
          <w:lang w:val="en-GB"/>
        </w:rPr>
        <w:t xml:space="preserve">10. Ghobarkar, Habib; Knauth, Philippe; </w:t>
      </w:r>
      <w:r>
        <w:rPr>
          <w:rFonts w:ascii="Arial" w:hAnsi="Arial" w:cs="Arial"/>
          <w:color w:val="FF0000"/>
          <w:sz w:val="20"/>
          <w:szCs w:val="20"/>
          <w:lang w:val="en-GB"/>
        </w:rPr>
        <w:t>Schaef, Oliver</w:t>
      </w:r>
      <w:r>
        <w:rPr>
          <w:rFonts w:ascii="Arial" w:hAnsi="Arial" w:cs="Arial"/>
          <w:sz w:val="20"/>
          <w:szCs w:val="20"/>
          <w:lang w:val="en-GB"/>
        </w:rPr>
        <w:t>; Edited By: Knauth, Philippe; Di Vona, Maria Luisa. Morpho</w:t>
      </w:r>
      <w:r>
        <w:rPr>
          <w:rFonts w:ascii="Arial" w:hAnsi="Arial" w:cs="Arial"/>
          <w:sz w:val="20"/>
          <w:szCs w:val="20"/>
          <w:lang w:val="en-GB"/>
        </w:rPr>
        <w:t xml:space="preserve">logy and structure of solid acids. Solid State Proton Conductors (2012), 5-24. </w:t>
      </w:r>
    </w:p>
    <w:p w:rsidR="003E0564" w:rsidRDefault="0026379A">
      <w:pPr>
        <w:autoSpaceDE w:val="0"/>
        <w:autoSpaceDN w:val="0"/>
        <w:adjustRightInd w:val="0"/>
        <w:spacing w:before="120"/>
        <w:jc w:val="both"/>
        <w:rPr>
          <w:rFonts w:ascii="Arial" w:hAnsi="Arial" w:cs="Arial"/>
          <w:sz w:val="20"/>
          <w:szCs w:val="20"/>
          <w:lang w:val="en-GB"/>
        </w:rPr>
      </w:pPr>
      <w:r>
        <w:rPr>
          <w:rFonts w:ascii="Arial" w:hAnsi="Arial" w:cs="Arial"/>
          <w:sz w:val="20"/>
          <w:szCs w:val="20"/>
          <w:lang w:val="en-GB"/>
        </w:rPr>
        <w:t xml:space="preserve">11. Narasimhan, L.; Kuchta, B.; </w:t>
      </w:r>
      <w:r>
        <w:rPr>
          <w:rFonts w:ascii="Arial" w:hAnsi="Arial" w:cs="Arial"/>
          <w:color w:val="FF0000"/>
          <w:sz w:val="20"/>
          <w:szCs w:val="20"/>
          <w:lang w:val="en-GB"/>
        </w:rPr>
        <w:t>Schaef, O.</w:t>
      </w:r>
      <w:r>
        <w:rPr>
          <w:rFonts w:ascii="Arial" w:hAnsi="Arial" w:cs="Arial"/>
          <w:sz w:val="20"/>
          <w:szCs w:val="20"/>
          <w:lang w:val="en-GB"/>
        </w:rPr>
        <w:t>; Brunet, P.; Boulet, P. Mechanism of adsorption of p-cresol uremic toxin into faujasite zeolites in presence of water and sodium cati</w:t>
      </w:r>
      <w:r>
        <w:rPr>
          <w:rFonts w:ascii="Arial" w:hAnsi="Arial" w:cs="Arial"/>
          <w:sz w:val="20"/>
          <w:szCs w:val="20"/>
          <w:lang w:val="en-GB"/>
        </w:rPr>
        <w:t>ons – A Monte Carlo study. Microporous and Mesoporous Materials (2013), 173, 70-77.</w:t>
      </w:r>
    </w:p>
    <w:p w:rsidR="003E0564" w:rsidRDefault="003E0564">
      <w:pPr>
        <w:autoSpaceDE w:val="0"/>
        <w:autoSpaceDN w:val="0"/>
        <w:adjustRightInd w:val="0"/>
        <w:spacing w:before="120"/>
        <w:jc w:val="both"/>
        <w:rPr>
          <w:rFonts w:ascii="Arial" w:hAnsi="Arial" w:cs="Arial"/>
          <w:color w:val="0000FF"/>
          <w:sz w:val="20"/>
          <w:szCs w:val="20"/>
          <w:lang w:val="en-GB"/>
        </w:rPr>
      </w:pPr>
    </w:p>
    <w:p w:rsidR="003E0564" w:rsidRDefault="0026379A">
      <w:pPr>
        <w:pStyle w:val="Paragraphedeliste"/>
        <w:numPr>
          <w:ilvl w:val="0"/>
          <w:numId w:val="46"/>
        </w:numPr>
        <w:tabs>
          <w:tab w:val="left" w:pos="284"/>
        </w:tabs>
        <w:autoSpaceDE w:val="0"/>
        <w:autoSpaceDN w:val="0"/>
        <w:adjustRightInd w:val="0"/>
        <w:spacing w:after="120" w:line="240" w:lineRule="auto"/>
        <w:ind w:left="0" w:firstLine="0"/>
        <w:rPr>
          <w:rFonts w:ascii="Arial" w:hAnsi="Arial" w:cs="Arial"/>
          <w:sz w:val="20"/>
          <w:szCs w:val="20"/>
          <w:lang w:val="en-GB"/>
        </w:rPr>
      </w:pPr>
      <w:r>
        <w:rPr>
          <w:rFonts w:ascii="Arial" w:hAnsi="Arial" w:cs="Arial"/>
          <w:sz w:val="20"/>
          <w:szCs w:val="20"/>
          <w:lang w:val="en-GB"/>
        </w:rPr>
        <w:t xml:space="preserve">Grigorescu, C. E. A.; </w:t>
      </w:r>
      <w:r>
        <w:rPr>
          <w:rFonts w:ascii="Arial" w:hAnsi="Arial" w:cs="Arial"/>
          <w:color w:val="FF0000"/>
          <w:sz w:val="20"/>
          <w:szCs w:val="20"/>
          <w:lang w:val="en-GB"/>
        </w:rPr>
        <w:t>Tortet, L.</w:t>
      </w:r>
      <w:r>
        <w:rPr>
          <w:rFonts w:ascii="Arial" w:hAnsi="Arial" w:cs="Arial"/>
          <w:sz w:val="20"/>
          <w:szCs w:val="20"/>
          <w:lang w:val="en-GB"/>
        </w:rPr>
        <w:t>; Monnereau, O.; Argeme, L.; Trodahl, H. J.; Granville, S.; Bittar, A.; Budde, F.; Ruck, B. J.; Williams, G. V. M.; et al. Structural and o</w:t>
      </w:r>
      <w:r>
        <w:rPr>
          <w:rFonts w:ascii="Arial" w:hAnsi="Arial" w:cs="Arial"/>
          <w:sz w:val="20"/>
          <w:szCs w:val="20"/>
          <w:lang w:val="en-GB"/>
        </w:rPr>
        <w:t>ptical properties of GaN-based nanocrystalline thin films. Thin Solid Films (2008), 516(7), 1617-1621.</w:t>
      </w:r>
    </w:p>
    <w:p w:rsidR="003E0564" w:rsidRDefault="003E0564">
      <w:pPr>
        <w:pStyle w:val="Paragraphedeliste"/>
        <w:tabs>
          <w:tab w:val="left" w:pos="284"/>
        </w:tabs>
        <w:autoSpaceDE w:val="0"/>
        <w:autoSpaceDN w:val="0"/>
        <w:adjustRightInd w:val="0"/>
        <w:spacing w:after="120" w:line="240" w:lineRule="auto"/>
        <w:ind w:left="0"/>
        <w:rPr>
          <w:rFonts w:ascii="Arial" w:hAnsi="Arial" w:cs="Arial"/>
          <w:sz w:val="20"/>
          <w:szCs w:val="20"/>
          <w:lang w:val="en-GB"/>
        </w:rPr>
      </w:pPr>
    </w:p>
    <w:p w:rsidR="003E0564" w:rsidRDefault="0026379A">
      <w:pPr>
        <w:pStyle w:val="Paragraphedeliste"/>
        <w:numPr>
          <w:ilvl w:val="0"/>
          <w:numId w:val="46"/>
        </w:numPr>
        <w:tabs>
          <w:tab w:val="left" w:pos="284"/>
        </w:tabs>
        <w:autoSpaceDE w:val="0"/>
        <w:autoSpaceDN w:val="0"/>
        <w:adjustRightInd w:val="0"/>
        <w:spacing w:before="120" w:after="0" w:line="240" w:lineRule="auto"/>
        <w:ind w:left="0" w:firstLine="0"/>
        <w:rPr>
          <w:rFonts w:ascii="Arial" w:eastAsia="Times New Roman" w:hAnsi="Arial" w:cs="Arial"/>
          <w:sz w:val="20"/>
          <w:szCs w:val="20"/>
          <w:lang w:val="en-GB" w:eastAsia="fr-FR"/>
        </w:rPr>
      </w:pPr>
      <w:r>
        <w:rPr>
          <w:rFonts w:ascii="Arial" w:eastAsia="Times New Roman" w:hAnsi="Arial" w:cs="Arial"/>
          <w:sz w:val="20"/>
          <w:szCs w:val="20"/>
          <w:lang w:eastAsia="fr-FR"/>
        </w:rPr>
        <w:t xml:space="preserve">Di Vona, M. Luisa; Sgreccia, Emanuela; Licoccia, Silvia; Alberti, Giulio; </w:t>
      </w:r>
      <w:r>
        <w:rPr>
          <w:rFonts w:ascii="Arial" w:eastAsia="Times New Roman" w:hAnsi="Arial" w:cs="Arial"/>
          <w:color w:val="FF0000"/>
          <w:sz w:val="20"/>
          <w:szCs w:val="20"/>
          <w:lang w:eastAsia="fr-FR"/>
        </w:rPr>
        <w:t>Tortet, Laurence</w:t>
      </w:r>
      <w:r>
        <w:rPr>
          <w:rFonts w:ascii="Arial" w:eastAsia="Times New Roman" w:hAnsi="Arial" w:cs="Arial"/>
          <w:sz w:val="20"/>
          <w:szCs w:val="20"/>
          <w:lang w:eastAsia="fr-FR"/>
        </w:rPr>
        <w:t xml:space="preserve">; Knauth, Philippe. </w:t>
      </w:r>
      <w:r>
        <w:rPr>
          <w:rFonts w:ascii="Arial" w:eastAsia="Times New Roman" w:hAnsi="Arial" w:cs="Arial"/>
          <w:sz w:val="20"/>
          <w:szCs w:val="20"/>
          <w:lang w:val="en-GB" w:eastAsia="fr-FR"/>
        </w:rPr>
        <w:t>Analysis of Temperature-Promoted and Solvent-Assisted Cross-Linking in Sulfonated Poly(ether ether ketone) (SPEEK) Proton-Conducting Membranes. Journal of Physical Chemistry B (2009), 113(21), 7505-7512.</w:t>
      </w:r>
    </w:p>
    <w:p w:rsidR="003E0564" w:rsidRDefault="003E0564">
      <w:pPr>
        <w:autoSpaceDE w:val="0"/>
        <w:autoSpaceDN w:val="0"/>
        <w:adjustRightInd w:val="0"/>
        <w:rPr>
          <w:rFonts w:ascii="Arial" w:hAnsi="Arial" w:cs="Arial"/>
          <w:color w:val="000000"/>
          <w:sz w:val="20"/>
          <w:szCs w:val="20"/>
        </w:rPr>
      </w:pPr>
    </w:p>
    <w:p w:rsidR="003E0564" w:rsidRDefault="0026379A">
      <w:pPr>
        <w:autoSpaceDE w:val="0"/>
        <w:autoSpaceDN w:val="0"/>
        <w:adjustRightInd w:val="0"/>
        <w:rPr>
          <w:rFonts w:ascii="Arial" w:hAnsi="Arial" w:cs="Arial"/>
          <w:sz w:val="20"/>
          <w:szCs w:val="20"/>
          <w:lang w:val="en-GB"/>
        </w:rPr>
      </w:pPr>
      <w:r>
        <w:rPr>
          <w:rFonts w:ascii="Arial" w:hAnsi="Arial" w:cs="Arial"/>
          <w:color w:val="000000"/>
          <w:sz w:val="20"/>
          <w:szCs w:val="20"/>
        </w:rPr>
        <w:t>3. Aboulaich, Abelmaula; Bouchet, Renaud; Delaizir,</w:t>
      </w:r>
      <w:r>
        <w:rPr>
          <w:rFonts w:ascii="Arial" w:hAnsi="Arial" w:cs="Arial"/>
          <w:color w:val="000000"/>
          <w:sz w:val="20"/>
          <w:szCs w:val="20"/>
        </w:rPr>
        <w:t xml:space="preserve"> Gaelle; Seznec, Vincent; </w:t>
      </w:r>
      <w:r>
        <w:rPr>
          <w:rFonts w:ascii="Arial" w:hAnsi="Arial" w:cs="Arial"/>
          <w:color w:val="FF0000"/>
          <w:sz w:val="20"/>
          <w:szCs w:val="20"/>
        </w:rPr>
        <w:t>Tortet, Laurence</w:t>
      </w:r>
      <w:r>
        <w:rPr>
          <w:rFonts w:ascii="Arial" w:hAnsi="Arial" w:cs="Arial"/>
          <w:color w:val="000000"/>
          <w:sz w:val="20"/>
          <w:szCs w:val="20"/>
        </w:rPr>
        <w:t xml:space="preserve">; Morcrette, Mathieu; Rozier, Patrick; Tarascon, Jean-Marie; Viallet, Virginie; Dolle, </w:t>
      </w:r>
      <w:r>
        <w:rPr>
          <w:rFonts w:ascii="Arial" w:hAnsi="Arial" w:cs="Arial"/>
          <w:sz w:val="20"/>
          <w:szCs w:val="20"/>
        </w:rPr>
        <w:t xml:space="preserve">Mickael. </w:t>
      </w:r>
      <w:r>
        <w:rPr>
          <w:rFonts w:ascii="Arial" w:hAnsi="Arial" w:cs="Arial"/>
          <w:sz w:val="20"/>
          <w:szCs w:val="20"/>
          <w:lang w:val="en-GB"/>
        </w:rPr>
        <w:t>A new approach to develop safe all-inorganic monolithic li-ion batteries. Advanced Energy Materials (2011), 1(2), 179-</w:t>
      </w:r>
      <w:r>
        <w:rPr>
          <w:rFonts w:ascii="Arial" w:hAnsi="Arial" w:cs="Arial"/>
          <w:sz w:val="20"/>
          <w:szCs w:val="20"/>
          <w:lang w:val="en-GB"/>
        </w:rPr>
        <w:t>183.</w:t>
      </w:r>
    </w:p>
    <w:p w:rsidR="003E0564" w:rsidRDefault="003E0564">
      <w:pPr>
        <w:autoSpaceDE w:val="0"/>
        <w:autoSpaceDN w:val="0"/>
        <w:adjustRightInd w:val="0"/>
        <w:rPr>
          <w:rFonts w:ascii="Arial" w:hAnsi="Arial" w:cs="Arial"/>
          <w:color w:val="000000"/>
          <w:sz w:val="20"/>
          <w:szCs w:val="20"/>
          <w:lang w:val="en-GB"/>
        </w:rPr>
      </w:pPr>
    </w:p>
    <w:p w:rsidR="003E0564" w:rsidRDefault="0026379A">
      <w:pPr>
        <w:autoSpaceDE w:val="0"/>
        <w:autoSpaceDN w:val="0"/>
        <w:adjustRightInd w:val="0"/>
        <w:rPr>
          <w:rFonts w:ascii="Arial" w:hAnsi="Arial" w:cs="Arial"/>
          <w:sz w:val="20"/>
          <w:szCs w:val="20"/>
          <w:lang w:val="en-GB"/>
        </w:rPr>
      </w:pPr>
      <w:r>
        <w:rPr>
          <w:rFonts w:ascii="Arial" w:hAnsi="Arial" w:cs="Arial"/>
          <w:sz w:val="20"/>
          <w:szCs w:val="20"/>
          <w:lang w:val="en-GB"/>
        </w:rPr>
        <w:t xml:space="preserve">4. Monnereau, O.; </w:t>
      </w:r>
      <w:r>
        <w:rPr>
          <w:rFonts w:ascii="Arial" w:hAnsi="Arial" w:cs="Arial"/>
          <w:color w:val="FF0000"/>
          <w:sz w:val="20"/>
          <w:szCs w:val="20"/>
          <w:lang w:val="en-GB"/>
        </w:rPr>
        <w:t>Tortet, L.</w:t>
      </w:r>
      <w:r>
        <w:rPr>
          <w:rFonts w:ascii="Arial" w:hAnsi="Arial" w:cs="Arial"/>
          <w:sz w:val="20"/>
          <w:szCs w:val="20"/>
          <w:lang w:val="en-GB"/>
        </w:rPr>
        <w:t>; Grigorescu, C. E. A.; Savastru, D.; Iordanescu, C. R.; Guinneton, F.; Notonier, R.; Tonetto, A.; Zhang, T.; Mihailescu, I. N.; et al. Chromium oxides mixtures in PLD films investigated by Raman spectroscopy. Journal of O</w:t>
      </w:r>
      <w:r>
        <w:rPr>
          <w:rFonts w:ascii="Arial" w:hAnsi="Arial" w:cs="Arial"/>
          <w:sz w:val="20"/>
          <w:szCs w:val="20"/>
          <w:lang w:val="en-GB"/>
        </w:rPr>
        <w:t>ptoelectronics and Advanced Materials (2010), 12(8), 1752-1758.</w:t>
      </w:r>
    </w:p>
    <w:p w:rsidR="003E0564" w:rsidRDefault="003E0564">
      <w:pPr>
        <w:autoSpaceDE w:val="0"/>
        <w:autoSpaceDN w:val="0"/>
        <w:adjustRightInd w:val="0"/>
        <w:rPr>
          <w:rFonts w:ascii="Arial" w:hAnsi="Arial" w:cs="Arial"/>
          <w:sz w:val="20"/>
          <w:szCs w:val="20"/>
          <w:lang w:val="en-GB"/>
        </w:rPr>
      </w:pPr>
    </w:p>
    <w:p w:rsidR="003E0564" w:rsidRDefault="0026379A">
      <w:pPr>
        <w:autoSpaceDE w:val="0"/>
        <w:autoSpaceDN w:val="0"/>
        <w:adjustRightInd w:val="0"/>
        <w:rPr>
          <w:rFonts w:ascii="Arial" w:hAnsi="Arial" w:cs="Arial"/>
          <w:sz w:val="20"/>
          <w:szCs w:val="20"/>
        </w:rPr>
      </w:pPr>
      <w:r>
        <w:rPr>
          <w:rFonts w:ascii="Arial" w:hAnsi="Arial" w:cs="Arial"/>
          <w:sz w:val="20"/>
          <w:szCs w:val="20"/>
          <w:lang w:val="en-GB"/>
        </w:rPr>
        <w:t xml:space="preserve">5. Delaizir, Gaelle; Viallet, Virginie; Aboulaich, Abdelmaula; Bouchet, Renaud; </w:t>
      </w:r>
      <w:r>
        <w:rPr>
          <w:rFonts w:ascii="Arial" w:hAnsi="Arial" w:cs="Arial"/>
          <w:color w:val="FF0000"/>
          <w:sz w:val="20"/>
          <w:szCs w:val="20"/>
          <w:lang w:val="en-GB"/>
        </w:rPr>
        <w:t>Tortet, Laurence</w:t>
      </w:r>
      <w:r>
        <w:rPr>
          <w:rFonts w:ascii="Arial" w:hAnsi="Arial" w:cs="Arial"/>
          <w:sz w:val="20"/>
          <w:szCs w:val="20"/>
          <w:lang w:val="en-GB"/>
        </w:rPr>
        <w:t>; Seznec, Vincent; Morcrette, Mathieu; Tarascon, Jean-Marie; Rozier, Patrick; Dolle, Mickael. T</w:t>
      </w:r>
      <w:r>
        <w:rPr>
          <w:rFonts w:ascii="Arial" w:hAnsi="Arial" w:cs="Arial"/>
          <w:sz w:val="20"/>
          <w:szCs w:val="20"/>
          <w:lang w:val="en-GB"/>
        </w:rPr>
        <w:t xml:space="preserve">he Stone Age Revisited: Building a Monolithic Inorganic Lithium-Ion Battery. </w:t>
      </w:r>
      <w:r>
        <w:rPr>
          <w:rFonts w:ascii="Arial" w:hAnsi="Arial" w:cs="Arial"/>
          <w:sz w:val="20"/>
          <w:szCs w:val="20"/>
        </w:rPr>
        <w:t>Advanced Functional Materials (2012), 22(10), 2140-2147.</w:t>
      </w:r>
    </w:p>
    <w:p w:rsidR="003E0564" w:rsidRDefault="003E0564">
      <w:pPr>
        <w:autoSpaceDE w:val="0"/>
        <w:autoSpaceDN w:val="0"/>
        <w:adjustRightInd w:val="0"/>
        <w:rPr>
          <w:rFonts w:ascii="Arial" w:hAnsi="Arial" w:cs="Arial"/>
          <w:sz w:val="20"/>
          <w:szCs w:val="20"/>
        </w:rPr>
      </w:pPr>
    </w:p>
    <w:p w:rsidR="003E0564" w:rsidRDefault="0026379A">
      <w:pPr>
        <w:autoSpaceDE w:val="0"/>
        <w:autoSpaceDN w:val="0"/>
        <w:adjustRightInd w:val="0"/>
        <w:rPr>
          <w:rFonts w:ascii="Arial" w:hAnsi="Arial" w:cs="Arial"/>
          <w:sz w:val="20"/>
          <w:szCs w:val="20"/>
          <w:lang w:val="en-GB"/>
        </w:rPr>
      </w:pPr>
      <w:r>
        <w:rPr>
          <w:rFonts w:ascii="Arial" w:hAnsi="Arial" w:cs="Arial"/>
          <w:sz w:val="20"/>
          <w:szCs w:val="20"/>
        </w:rPr>
        <w:lastRenderedPageBreak/>
        <w:t xml:space="preserve">6. Delaizir, Gaelle; Viallet, Virginie; Aboulaich, Abdelmaula; Bouchet, Renaud; </w:t>
      </w:r>
      <w:r>
        <w:rPr>
          <w:rFonts w:ascii="Arial" w:hAnsi="Arial" w:cs="Arial"/>
          <w:color w:val="FF0000"/>
          <w:sz w:val="20"/>
          <w:szCs w:val="20"/>
        </w:rPr>
        <w:t>Tortet, Laurence</w:t>
      </w:r>
      <w:r>
        <w:rPr>
          <w:rFonts w:ascii="Arial" w:hAnsi="Arial" w:cs="Arial"/>
          <w:sz w:val="20"/>
          <w:szCs w:val="20"/>
        </w:rPr>
        <w:t xml:space="preserve">; Seznec, Vincent; </w:t>
      </w:r>
      <w:r>
        <w:rPr>
          <w:rFonts w:ascii="Arial" w:hAnsi="Arial" w:cs="Arial"/>
          <w:sz w:val="20"/>
          <w:szCs w:val="20"/>
        </w:rPr>
        <w:t xml:space="preserve">Morcrette, Mathieu; Tarascon, Jean-Marie; Rozier, Patrick; Dolle, Mickael. </w:t>
      </w:r>
      <w:r>
        <w:rPr>
          <w:rFonts w:ascii="Arial" w:hAnsi="Arial" w:cs="Arial"/>
          <w:sz w:val="20"/>
          <w:szCs w:val="20"/>
          <w:lang w:val="en-GB"/>
        </w:rPr>
        <w:t>Batteries: The Stone Age Revisited: Building a Monolithic Inorganic Lithium-Ion Battery Advanced Functional Materials (2012), 22(10), 1993.</w:t>
      </w:r>
    </w:p>
    <w:p w:rsidR="003E0564" w:rsidRDefault="003E0564">
      <w:pPr>
        <w:autoSpaceDE w:val="0"/>
        <w:autoSpaceDN w:val="0"/>
        <w:adjustRightInd w:val="0"/>
        <w:rPr>
          <w:rFonts w:ascii="Arial" w:hAnsi="Arial" w:cs="Arial"/>
          <w:sz w:val="20"/>
          <w:szCs w:val="20"/>
          <w:lang w:val="en-GB"/>
        </w:rPr>
      </w:pPr>
    </w:p>
    <w:p w:rsidR="003E0564" w:rsidRDefault="0026379A">
      <w:pPr>
        <w:autoSpaceDE w:val="0"/>
        <w:autoSpaceDN w:val="0"/>
        <w:adjustRightInd w:val="0"/>
        <w:rPr>
          <w:rFonts w:ascii="Arial" w:eastAsia="Calibri" w:hAnsi="Arial" w:cs="Arial"/>
          <w:sz w:val="20"/>
          <w:szCs w:val="20"/>
          <w:lang w:val="en-GB" w:eastAsia="en-US"/>
        </w:rPr>
      </w:pPr>
      <w:r>
        <w:rPr>
          <w:rFonts w:ascii="Arial" w:hAnsi="Arial" w:cs="Arial"/>
          <w:sz w:val="20"/>
          <w:szCs w:val="20"/>
        </w:rPr>
        <w:t xml:space="preserve">7. Rusu, M. I.; Savastru, R.; Savastru, </w:t>
      </w:r>
      <w:r>
        <w:rPr>
          <w:rFonts w:ascii="Arial" w:hAnsi="Arial" w:cs="Arial"/>
          <w:sz w:val="20"/>
          <w:szCs w:val="20"/>
        </w:rPr>
        <w:t xml:space="preserve">D.; Tenciu, D.; Iordanescu, C. R.; Feraru, I. D.; Zoita, C. N.; Notonier, R.; Tonetto, A.; Chassigneux, C.; et al. </w:t>
      </w:r>
      <w:r>
        <w:rPr>
          <w:rFonts w:ascii="Arial" w:hAnsi="Arial" w:cs="Arial"/>
          <w:sz w:val="20"/>
          <w:szCs w:val="20"/>
          <w:lang w:val="en-GB"/>
        </w:rPr>
        <w:t>Pulsed laser deposition of (Co, Fe)-doped ZnSnSb and MnGeSb thin films on silicon. Applied Surface Science (2013), 284, 950-955.</w:t>
      </w:r>
    </w:p>
    <w:p w:rsidR="003E0564" w:rsidRDefault="003E0564">
      <w:pPr>
        <w:autoSpaceDE w:val="0"/>
        <w:autoSpaceDN w:val="0"/>
        <w:adjustRightInd w:val="0"/>
        <w:rPr>
          <w:rFonts w:ascii="Arial" w:hAnsi="Arial" w:cs="Arial"/>
          <w:color w:val="0000FF"/>
          <w:sz w:val="20"/>
          <w:szCs w:val="20"/>
          <w:lang w:val="en-GB"/>
        </w:rPr>
      </w:pPr>
    </w:p>
    <w:p w:rsidR="003E0564" w:rsidRDefault="0026379A">
      <w:pPr>
        <w:autoSpaceDE w:val="0"/>
        <w:autoSpaceDN w:val="0"/>
        <w:adjustRightInd w:val="0"/>
        <w:rPr>
          <w:rFonts w:ascii="Arial" w:hAnsi="Arial" w:cs="Arial"/>
          <w:sz w:val="20"/>
          <w:szCs w:val="20"/>
          <w:lang w:val="en-GB"/>
        </w:rPr>
      </w:pPr>
      <w:r>
        <w:rPr>
          <w:rFonts w:ascii="Arial" w:hAnsi="Arial" w:cs="Arial"/>
          <w:sz w:val="20"/>
          <w:szCs w:val="20"/>
          <w:lang w:val="en-GB"/>
        </w:rPr>
        <w:t xml:space="preserve">1. Nehru, </w:t>
      </w:r>
      <w:r>
        <w:rPr>
          <w:rFonts w:ascii="Arial" w:hAnsi="Arial" w:cs="Arial"/>
          <w:sz w:val="20"/>
          <w:szCs w:val="20"/>
          <w:lang w:val="en-GB"/>
        </w:rPr>
        <w:t xml:space="preserve">Kasi; Jang, Yukyeong; Oh, Sunok; </w:t>
      </w:r>
      <w:r>
        <w:rPr>
          <w:rFonts w:ascii="Arial" w:hAnsi="Arial" w:cs="Arial"/>
          <w:color w:val="FF0000"/>
          <w:sz w:val="20"/>
          <w:szCs w:val="20"/>
          <w:lang w:val="en-GB"/>
        </w:rPr>
        <w:t>Dallemer, Frederic</w:t>
      </w:r>
      <w:r>
        <w:rPr>
          <w:rFonts w:ascii="Arial" w:hAnsi="Arial" w:cs="Arial"/>
          <w:sz w:val="20"/>
          <w:szCs w:val="20"/>
          <w:lang w:val="en-GB"/>
        </w:rPr>
        <w:t>; Nam, Wonwoo; Kim, Jinheung</w:t>
      </w:r>
    </w:p>
    <w:p w:rsidR="003E0564" w:rsidRDefault="0026379A">
      <w:pPr>
        <w:autoSpaceDE w:val="0"/>
        <w:autoSpaceDN w:val="0"/>
        <w:adjustRightInd w:val="0"/>
        <w:rPr>
          <w:rFonts w:ascii="Arial" w:hAnsi="Arial" w:cs="Arial"/>
          <w:sz w:val="20"/>
          <w:szCs w:val="20"/>
          <w:lang w:val="en-GB"/>
        </w:rPr>
      </w:pPr>
      <w:r>
        <w:rPr>
          <w:rFonts w:ascii="Arial" w:hAnsi="Arial" w:cs="Arial"/>
          <w:sz w:val="20"/>
          <w:szCs w:val="20"/>
          <w:lang w:val="en-GB"/>
        </w:rPr>
        <w:t xml:space="preserve">Oxidation of hydroquinones by a nonheme iron(IV)-oxo species. Inorganica Chimica Acta (2008), 361(8), 2557-2561. </w:t>
      </w:r>
    </w:p>
    <w:p w:rsidR="003E0564" w:rsidRDefault="003E0564">
      <w:pPr>
        <w:autoSpaceDE w:val="0"/>
        <w:autoSpaceDN w:val="0"/>
        <w:adjustRightInd w:val="0"/>
        <w:rPr>
          <w:rFonts w:ascii="Arial" w:hAnsi="Arial" w:cs="Arial"/>
          <w:sz w:val="20"/>
          <w:szCs w:val="20"/>
          <w:lang w:val="en-GB"/>
        </w:rPr>
      </w:pPr>
    </w:p>
    <w:p w:rsidR="003E0564" w:rsidRDefault="0026379A">
      <w:pPr>
        <w:autoSpaceDE w:val="0"/>
        <w:autoSpaceDN w:val="0"/>
        <w:adjustRightInd w:val="0"/>
        <w:rPr>
          <w:rFonts w:ascii="Arial" w:hAnsi="Arial" w:cs="Arial"/>
          <w:sz w:val="20"/>
          <w:szCs w:val="20"/>
          <w:lang w:val="en-GB"/>
        </w:rPr>
      </w:pPr>
      <w:r>
        <w:rPr>
          <w:rFonts w:ascii="Arial" w:hAnsi="Arial" w:cs="Arial"/>
          <w:sz w:val="20"/>
          <w:szCs w:val="20"/>
          <w:lang w:val="en-GB"/>
        </w:rPr>
        <w:t>2. Prabhakaran, R.; Anantharaman, S.; Thilagavathi, M.; Kaver</w:t>
      </w:r>
      <w:r>
        <w:rPr>
          <w:rFonts w:ascii="Arial" w:hAnsi="Arial" w:cs="Arial"/>
          <w:sz w:val="20"/>
          <w:szCs w:val="20"/>
          <w:lang w:val="en-GB"/>
        </w:rPr>
        <w:t xml:space="preserve">i, M. V.; Kalaivani, P.; Karvembu, R.; Dharmaraj, N.; Bertagnolli, H.; </w:t>
      </w:r>
      <w:r>
        <w:rPr>
          <w:rFonts w:ascii="Arial" w:hAnsi="Arial" w:cs="Arial"/>
          <w:color w:val="FF0000"/>
          <w:sz w:val="20"/>
          <w:szCs w:val="20"/>
          <w:lang w:val="en-GB"/>
        </w:rPr>
        <w:t>Dallemer, F.</w:t>
      </w:r>
      <w:r>
        <w:rPr>
          <w:rFonts w:ascii="Arial" w:hAnsi="Arial" w:cs="Arial"/>
          <w:sz w:val="20"/>
          <w:szCs w:val="20"/>
          <w:lang w:val="en-GB"/>
        </w:rPr>
        <w:t>; Natarajan, K. Preparation, spectroscopy, EXAFS, electrochemistry and pharmacology of new ruthenium(II) carbonyl complexes containing ferrocenylthiosemicarbazone and triphe</w:t>
      </w:r>
      <w:r>
        <w:rPr>
          <w:rFonts w:ascii="Arial" w:hAnsi="Arial" w:cs="Arial"/>
          <w:sz w:val="20"/>
          <w:szCs w:val="20"/>
          <w:lang w:val="en-GB"/>
        </w:rPr>
        <w:t>nylphosphine/arsine. Spectrochimica  Acta, Part A: Molecular and Biomolecular Spectroscopy (2011), 78A(2), 844-853.</w:t>
      </w:r>
    </w:p>
    <w:p w:rsidR="003E0564" w:rsidRDefault="003E0564">
      <w:pPr>
        <w:autoSpaceDE w:val="0"/>
        <w:autoSpaceDN w:val="0"/>
        <w:adjustRightInd w:val="0"/>
        <w:rPr>
          <w:rFonts w:ascii="Arial" w:hAnsi="Arial" w:cs="Arial"/>
          <w:sz w:val="20"/>
          <w:szCs w:val="20"/>
          <w:lang w:val="en-GB"/>
        </w:rPr>
      </w:pPr>
    </w:p>
    <w:p w:rsidR="003E0564" w:rsidRDefault="0026379A">
      <w:pPr>
        <w:autoSpaceDE w:val="0"/>
        <w:autoSpaceDN w:val="0"/>
        <w:adjustRightInd w:val="0"/>
        <w:rPr>
          <w:rFonts w:ascii="Arial" w:hAnsi="Arial" w:cs="Arial"/>
          <w:sz w:val="20"/>
          <w:szCs w:val="20"/>
          <w:lang w:val="en-GB"/>
        </w:rPr>
      </w:pPr>
      <w:r>
        <w:rPr>
          <w:rFonts w:ascii="Arial" w:hAnsi="Arial" w:cs="Arial"/>
          <w:sz w:val="20"/>
          <w:szCs w:val="20"/>
          <w:lang w:val="en-GB"/>
        </w:rPr>
        <w:t xml:space="preserve">3. Prabhakaran, R.; Sivasamy, R.; Angayarkanni, J.; Huang, R.; Kalaivani, P.; Karvembu, R.; </w:t>
      </w:r>
      <w:r>
        <w:rPr>
          <w:rFonts w:ascii="Arial" w:hAnsi="Arial" w:cs="Arial"/>
          <w:color w:val="FF0000"/>
          <w:sz w:val="20"/>
          <w:szCs w:val="20"/>
          <w:lang w:val="en-GB"/>
        </w:rPr>
        <w:t>Dallemer, F.</w:t>
      </w:r>
      <w:r>
        <w:rPr>
          <w:rFonts w:ascii="Arial" w:hAnsi="Arial" w:cs="Arial"/>
          <w:sz w:val="20"/>
          <w:szCs w:val="20"/>
          <w:lang w:val="en-GB"/>
        </w:rPr>
        <w:t>; Natarajan, K. Topoisomerase II in</w:t>
      </w:r>
      <w:r>
        <w:rPr>
          <w:rFonts w:ascii="Arial" w:hAnsi="Arial" w:cs="Arial"/>
          <w:sz w:val="20"/>
          <w:szCs w:val="20"/>
          <w:lang w:val="en-GB"/>
        </w:rPr>
        <w:t xml:space="preserve">hibition activity of new square planar Ni(II) complexes containing N-substituted thiosemicarbazones: Synthesis, spectroscopy, X-ray crystallography and electrochemical characterization. Inorganica Chimica Acta (2011), 374(1), 647-653. </w:t>
      </w:r>
    </w:p>
    <w:p w:rsidR="003E0564" w:rsidRDefault="003E0564">
      <w:pPr>
        <w:autoSpaceDE w:val="0"/>
        <w:autoSpaceDN w:val="0"/>
        <w:adjustRightInd w:val="0"/>
        <w:rPr>
          <w:rFonts w:ascii="Arial" w:hAnsi="Arial" w:cs="Arial"/>
          <w:sz w:val="20"/>
          <w:szCs w:val="20"/>
          <w:lang w:val="en-GB"/>
        </w:rPr>
      </w:pPr>
    </w:p>
    <w:p w:rsidR="003E0564" w:rsidRDefault="0026379A">
      <w:pPr>
        <w:autoSpaceDE w:val="0"/>
        <w:autoSpaceDN w:val="0"/>
        <w:adjustRightInd w:val="0"/>
        <w:rPr>
          <w:rFonts w:ascii="Arial" w:hAnsi="Arial" w:cs="Arial"/>
          <w:sz w:val="20"/>
          <w:szCs w:val="20"/>
          <w:lang w:val="en-GB"/>
        </w:rPr>
      </w:pPr>
      <w:r>
        <w:rPr>
          <w:rFonts w:ascii="Arial" w:hAnsi="Arial" w:cs="Arial"/>
          <w:sz w:val="20"/>
          <w:szCs w:val="20"/>
          <w:lang w:val="en-GB"/>
        </w:rPr>
        <w:t>4. Prabhakaran, Rat</w:t>
      </w:r>
      <w:r>
        <w:rPr>
          <w:rFonts w:ascii="Arial" w:hAnsi="Arial" w:cs="Arial"/>
          <w:sz w:val="20"/>
          <w:szCs w:val="20"/>
          <w:lang w:val="en-GB"/>
        </w:rPr>
        <w:t xml:space="preserve">hinasabapathi; Palaniappan, Kalaivani; Huang, Rui; Sieger, Monica; Kaim, Wolfgang; Viswanathamurthi, Periyasamy; </w:t>
      </w:r>
      <w:r>
        <w:rPr>
          <w:rFonts w:ascii="Arial" w:hAnsi="Arial" w:cs="Arial"/>
          <w:color w:val="FF0000"/>
          <w:sz w:val="20"/>
          <w:szCs w:val="20"/>
          <w:lang w:val="en-GB"/>
        </w:rPr>
        <w:t>Dallemer, Frederic</w:t>
      </w:r>
      <w:r>
        <w:rPr>
          <w:rFonts w:ascii="Arial" w:hAnsi="Arial" w:cs="Arial"/>
          <w:sz w:val="20"/>
          <w:szCs w:val="20"/>
          <w:lang w:val="en-GB"/>
        </w:rPr>
        <w:t>; Natarajan, Karuppannan. Can geometry control the coordination behaviour of 2-hydroxy-1-naphthaldehyde-N(4)-phenylthiosemica</w:t>
      </w:r>
      <w:r>
        <w:rPr>
          <w:rFonts w:ascii="Arial" w:hAnsi="Arial" w:cs="Arial"/>
          <w:sz w:val="20"/>
          <w:szCs w:val="20"/>
          <w:lang w:val="en-GB"/>
        </w:rPr>
        <w:t>rbazone? A study towards its origin. Inorganica Chimica Acta (2011), 376(1), 317-324.</w:t>
      </w:r>
    </w:p>
    <w:p w:rsidR="003E0564" w:rsidRDefault="003E0564">
      <w:pPr>
        <w:autoSpaceDE w:val="0"/>
        <w:autoSpaceDN w:val="0"/>
        <w:adjustRightInd w:val="0"/>
        <w:rPr>
          <w:rFonts w:ascii="Arial" w:hAnsi="Arial" w:cs="Arial"/>
          <w:sz w:val="20"/>
          <w:szCs w:val="20"/>
          <w:lang w:val="en-GB"/>
        </w:rPr>
      </w:pPr>
    </w:p>
    <w:p w:rsidR="003E0564" w:rsidRDefault="0026379A">
      <w:pPr>
        <w:autoSpaceDE w:val="0"/>
        <w:autoSpaceDN w:val="0"/>
        <w:adjustRightInd w:val="0"/>
        <w:rPr>
          <w:rFonts w:ascii="Arial" w:hAnsi="Arial" w:cs="Arial"/>
          <w:sz w:val="20"/>
          <w:szCs w:val="20"/>
          <w:lang w:val="en-GB"/>
        </w:rPr>
      </w:pPr>
      <w:r>
        <w:rPr>
          <w:rFonts w:ascii="Arial" w:hAnsi="Arial" w:cs="Arial"/>
          <w:sz w:val="20"/>
          <w:szCs w:val="20"/>
          <w:lang w:val="en-GB"/>
        </w:rPr>
        <w:t xml:space="preserve">5. Kalaivani, P.; Prabhakaran, R.; </w:t>
      </w:r>
      <w:r>
        <w:rPr>
          <w:rFonts w:ascii="Arial" w:hAnsi="Arial" w:cs="Arial"/>
          <w:color w:val="FF0000"/>
          <w:sz w:val="20"/>
          <w:szCs w:val="20"/>
          <w:lang w:val="en-GB"/>
        </w:rPr>
        <w:t>Dallemer, F.</w:t>
      </w:r>
      <w:r>
        <w:rPr>
          <w:rFonts w:ascii="Arial" w:hAnsi="Arial" w:cs="Arial"/>
          <w:sz w:val="20"/>
          <w:szCs w:val="20"/>
          <w:lang w:val="en-GB"/>
        </w:rPr>
        <w:t>; Poornima, P.; Vaishnavi, E.; Ramachandran, E.; Padma, V. Vijaya; Renganathan, R.; Natarajan, K. DNA, protein binding, cy</w:t>
      </w:r>
      <w:r>
        <w:rPr>
          <w:rFonts w:ascii="Arial" w:hAnsi="Arial" w:cs="Arial"/>
          <w:sz w:val="20"/>
          <w:szCs w:val="20"/>
          <w:lang w:val="en-GB"/>
        </w:rPr>
        <w:t>totoxicity, cellular uptake and antibacterial activities of new palladium(II) complexes of thiosemicarbazone ligands: effects of substitution on biological activityMetallomics (2012), 4(1), 101-113.</w:t>
      </w:r>
    </w:p>
    <w:p w:rsidR="003E0564" w:rsidRDefault="003E0564">
      <w:pPr>
        <w:autoSpaceDE w:val="0"/>
        <w:autoSpaceDN w:val="0"/>
        <w:adjustRightInd w:val="0"/>
        <w:rPr>
          <w:rFonts w:ascii="Arial" w:hAnsi="Arial" w:cs="Arial"/>
          <w:sz w:val="20"/>
          <w:szCs w:val="20"/>
          <w:lang w:val="en-GB"/>
        </w:rPr>
      </w:pPr>
    </w:p>
    <w:p w:rsidR="003E0564" w:rsidRDefault="0026379A">
      <w:pPr>
        <w:autoSpaceDE w:val="0"/>
        <w:autoSpaceDN w:val="0"/>
        <w:adjustRightInd w:val="0"/>
        <w:rPr>
          <w:rFonts w:ascii="Arial" w:hAnsi="Arial" w:cs="Arial"/>
          <w:sz w:val="20"/>
          <w:szCs w:val="20"/>
          <w:lang w:val="en-GB"/>
        </w:rPr>
      </w:pPr>
      <w:r>
        <w:rPr>
          <w:rFonts w:ascii="Arial" w:hAnsi="Arial" w:cs="Arial"/>
          <w:sz w:val="20"/>
          <w:szCs w:val="20"/>
          <w:lang w:val="en-GB"/>
        </w:rPr>
        <w:t xml:space="preserve">6. Kalaivani, P.; Prabhakaran, R.; Ramachandran, E.; </w:t>
      </w:r>
      <w:r>
        <w:rPr>
          <w:rFonts w:ascii="Arial" w:hAnsi="Arial" w:cs="Arial"/>
          <w:color w:val="FF0000"/>
          <w:sz w:val="20"/>
          <w:szCs w:val="20"/>
          <w:lang w:val="en-GB"/>
        </w:rPr>
        <w:t>Dal</w:t>
      </w:r>
      <w:r>
        <w:rPr>
          <w:rFonts w:ascii="Arial" w:hAnsi="Arial" w:cs="Arial"/>
          <w:color w:val="FF0000"/>
          <w:sz w:val="20"/>
          <w:szCs w:val="20"/>
          <w:lang w:val="en-GB"/>
        </w:rPr>
        <w:t>lemer, F.</w:t>
      </w:r>
      <w:r>
        <w:rPr>
          <w:rFonts w:ascii="Arial" w:hAnsi="Arial" w:cs="Arial"/>
          <w:sz w:val="20"/>
          <w:szCs w:val="20"/>
          <w:lang w:val="en-GB"/>
        </w:rPr>
        <w:t>; Paramaguru, G.; Renganathan, R.; Poornima, P.; Vijaya Padma, V.; Natarajan, K. Influence of terminal substitution on structural, DNA, Protein binding, anticancer and antibacterial activities of palladium(II) complexes containing 3-methoxysalicyl</w:t>
      </w:r>
      <w:r>
        <w:rPr>
          <w:rFonts w:ascii="Arial" w:hAnsi="Arial" w:cs="Arial"/>
          <w:sz w:val="20"/>
          <w:szCs w:val="20"/>
          <w:lang w:val="en-GB"/>
        </w:rPr>
        <w:t>aldehyde-4(N)-substituted thiosemicarbazones. Dalton Transactions (2012), 41(8), 2486-2499.</w:t>
      </w:r>
    </w:p>
    <w:p w:rsidR="003E0564" w:rsidRDefault="003E0564">
      <w:pPr>
        <w:autoSpaceDE w:val="0"/>
        <w:autoSpaceDN w:val="0"/>
        <w:adjustRightInd w:val="0"/>
        <w:rPr>
          <w:rFonts w:ascii="Arial" w:hAnsi="Arial" w:cs="Arial"/>
          <w:sz w:val="20"/>
          <w:szCs w:val="20"/>
          <w:lang w:val="en-GB"/>
        </w:rPr>
      </w:pPr>
    </w:p>
    <w:p w:rsidR="003E0564" w:rsidRDefault="0026379A">
      <w:pPr>
        <w:autoSpaceDE w:val="0"/>
        <w:autoSpaceDN w:val="0"/>
        <w:adjustRightInd w:val="0"/>
        <w:rPr>
          <w:rFonts w:ascii="Arial" w:hAnsi="Arial" w:cs="Arial"/>
          <w:sz w:val="20"/>
          <w:szCs w:val="20"/>
          <w:lang w:val="en-GB"/>
        </w:rPr>
      </w:pPr>
      <w:r>
        <w:rPr>
          <w:rFonts w:ascii="Arial" w:hAnsi="Arial" w:cs="Arial"/>
          <w:sz w:val="20"/>
          <w:szCs w:val="20"/>
          <w:lang w:val="en-GB"/>
        </w:rPr>
        <w:t xml:space="preserve">7. Prabhakaran, R.; Kalaivani, P.; Poornima, P.; </w:t>
      </w:r>
      <w:r>
        <w:rPr>
          <w:rFonts w:ascii="Arial" w:hAnsi="Arial" w:cs="Arial"/>
          <w:color w:val="FF0000"/>
          <w:sz w:val="20"/>
          <w:szCs w:val="20"/>
          <w:lang w:val="en-GB"/>
        </w:rPr>
        <w:t>Dallemer, F.</w:t>
      </w:r>
      <w:r>
        <w:rPr>
          <w:rFonts w:ascii="Arial" w:hAnsi="Arial" w:cs="Arial"/>
          <w:sz w:val="20"/>
          <w:szCs w:val="20"/>
          <w:lang w:val="en-GB"/>
        </w:rPr>
        <w:t>; Paramaguru, G.; Vijaya Padma, V.; Renganathan, R.; Huang, R.; Natarajan, K. One pot synthesis of str</w:t>
      </w:r>
      <w:r>
        <w:rPr>
          <w:rFonts w:ascii="Arial" w:hAnsi="Arial" w:cs="Arial"/>
          <w:sz w:val="20"/>
          <w:szCs w:val="20"/>
          <w:lang w:val="en-GB"/>
        </w:rPr>
        <w:t>ucturally different mono and dimeric Ni(II) thiosemicarbazone complexes and N-arylation on a coordinated ligand: a comparative biological study. Dalton Transactions (2012), 41(31), 9323-9336.</w:t>
      </w:r>
    </w:p>
    <w:p w:rsidR="003E0564" w:rsidRDefault="003E0564">
      <w:pPr>
        <w:autoSpaceDE w:val="0"/>
        <w:autoSpaceDN w:val="0"/>
        <w:adjustRightInd w:val="0"/>
        <w:rPr>
          <w:rFonts w:ascii="Arial" w:hAnsi="Arial" w:cs="Arial"/>
          <w:sz w:val="20"/>
          <w:szCs w:val="20"/>
          <w:lang w:val="en-GB"/>
        </w:rPr>
      </w:pPr>
    </w:p>
    <w:p w:rsidR="003E0564" w:rsidRDefault="0026379A">
      <w:pPr>
        <w:autoSpaceDE w:val="0"/>
        <w:autoSpaceDN w:val="0"/>
        <w:adjustRightInd w:val="0"/>
        <w:rPr>
          <w:rFonts w:ascii="Arial" w:hAnsi="Arial" w:cs="Arial"/>
          <w:sz w:val="20"/>
          <w:szCs w:val="20"/>
          <w:lang w:val="en-GB"/>
        </w:rPr>
      </w:pPr>
      <w:r>
        <w:rPr>
          <w:rFonts w:ascii="Arial" w:hAnsi="Arial" w:cs="Arial"/>
          <w:sz w:val="20"/>
          <w:szCs w:val="20"/>
          <w:lang w:val="en-GB"/>
        </w:rPr>
        <w:t xml:space="preserve">8. Kalaivani, P.; Prabhakaran, R.; Poornima, P.; </w:t>
      </w:r>
      <w:r>
        <w:rPr>
          <w:rFonts w:ascii="Arial" w:hAnsi="Arial" w:cs="Arial"/>
          <w:color w:val="FF0000"/>
          <w:sz w:val="20"/>
          <w:szCs w:val="20"/>
          <w:lang w:val="en-GB"/>
        </w:rPr>
        <w:t>Dallemer, F.</w:t>
      </w:r>
      <w:r>
        <w:rPr>
          <w:rFonts w:ascii="Arial" w:hAnsi="Arial" w:cs="Arial"/>
          <w:sz w:val="20"/>
          <w:szCs w:val="20"/>
          <w:lang w:val="en-GB"/>
        </w:rPr>
        <w:t xml:space="preserve">; </w:t>
      </w:r>
      <w:r>
        <w:rPr>
          <w:rFonts w:ascii="Arial" w:hAnsi="Arial" w:cs="Arial"/>
          <w:sz w:val="20"/>
          <w:szCs w:val="20"/>
          <w:lang w:val="en-GB"/>
        </w:rPr>
        <w:t>Vijayalakshmi, K.; Padma, V. Vijaya; Natarajan, K. Versatile coordination behavior of salicylaldehydethiosemicarbazone in ruthenium(II) carbonyl complexes: synthesis, spectral, x-ray, electrochemistry, DNA binding, cytotoxicity, and cellular uptake studies</w:t>
      </w:r>
      <w:r>
        <w:rPr>
          <w:rFonts w:ascii="Arial" w:hAnsi="Arial" w:cs="Arial"/>
          <w:sz w:val="20"/>
          <w:szCs w:val="20"/>
          <w:lang w:val="en-GB"/>
        </w:rPr>
        <w:t>. Organometallics (2012), 31(23), 8323-8332.</w:t>
      </w:r>
    </w:p>
    <w:p w:rsidR="003E0564" w:rsidRDefault="003E0564">
      <w:pPr>
        <w:autoSpaceDE w:val="0"/>
        <w:autoSpaceDN w:val="0"/>
        <w:adjustRightInd w:val="0"/>
        <w:rPr>
          <w:rFonts w:ascii="Arial" w:hAnsi="Arial" w:cs="Arial"/>
          <w:sz w:val="20"/>
          <w:szCs w:val="20"/>
          <w:lang w:val="en-GB"/>
        </w:rPr>
      </w:pPr>
    </w:p>
    <w:p w:rsidR="003E0564" w:rsidRDefault="0026379A">
      <w:pPr>
        <w:autoSpaceDE w:val="0"/>
        <w:autoSpaceDN w:val="0"/>
        <w:adjustRightInd w:val="0"/>
        <w:rPr>
          <w:rFonts w:ascii="Arial" w:hAnsi="Arial" w:cs="Arial"/>
          <w:sz w:val="20"/>
          <w:szCs w:val="20"/>
          <w:lang w:val="en-GB"/>
        </w:rPr>
      </w:pPr>
      <w:r>
        <w:rPr>
          <w:rFonts w:ascii="Arial" w:hAnsi="Arial" w:cs="Arial"/>
          <w:sz w:val="20"/>
          <w:szCs w:val="20"/>
          <w:lang w:val="en-GB"/>
        </w:rPr>
        <w:t xml:space="preserve">9. Prabhakaran, R.; Kalaivani, P.; Huang, R.; Poornima, P.; Vijaya Padma, V.; </w:t>
      </w:r>
      <w:r>
        <w:rPr>
          <w:rFonts w:ascii="Arial" w:hAnsi="Arial" w:cs="Arial"/>
          <w:color w:val="FF0000"/>
          <w:sz w:val="20"/>
          <w:szCs w:val="20"/>
          <w:lang w:val="en-GB"/>
        </w:rPr>
        <w:t>Dallemer, F.</w:t>
      </w:r>
      <w:r>
        <w:rPr>
          <w:rFonts w:ascii="Arial" w:hAnsi="Arial" w:cs="Arial"/>
          <w:sz w:val="20"/>
          <w:szCs w:val="20"/>
          <w:lang w:val="en-GB"/>
        </w:rPr>
        <w:t xml:space="preserve">; Natarajan, K. DNA binding, antioxidant, cytotoxicity (MTT, lactate dehydrogenase, NO), and cellular uptake studies of </w:t>
      </w:r>
      <w:r>
        <w:rPr>
          <w:rFonts w:ascii="Arial" w:hAnsi="Arial" w:cs="Arial"/>
          <w:sz w:val="20"/>
          <w:szCs w:val="20"/>
          <w:lang w:val="en-GB"/>
        </w:rPr>
        <w:t>structurally different nickel(II) thiosemicarbazone complexes: synthesis, spectroscopy, electrochemistry, and x-ray crystallography. Journal of Biological Inorganic Chemistry (2013), 18(2), 233-247.</w:t>
      </w:r>
    </w:p>
    <w:p w:rsidR="003E0564" w:rsidRDefault="003E0564">
      <w:pPr>
        <w:autoSpaceDE w:val="0"/>
        <w:autoSpaceDN w:val="0"/>
        <w:adjustRightInd w:val="0"/>
        <w:rPr>
          <w:rFonts w:ascii="Arial" w:hAnsi="Arial" w:cs="Arial"/>
          <w:sz w:val="20"/>
          <w:szCs w:val="20"/>
          <w:lang w:val="en-GB"/>
        </w:rPr>
      </w:pPr>
    </w:p>
    <w:p w:rsidR="003E0564" w:rsidRDefault="0026379A">
      <w:pPr>
        <w:autoSpaceDE w:val="0"/>
        <w:autoSpaceDN w:val="0"/>
        <w:adjustRightInd w:val="0"/>
        <w:rPr>
          <w:rFonts w:ascii="Arial" w:eastAsiaTheme="minorEastAsia" w:hAnsi="Arial" w:cs="Arial"/>
          <w:color w:val="000000"/>
          <w:sz w:val="20"/>
          <w:szCs w:val="20"/>
          <w:lang w:val="en-GB"/>
        </w:rPr>
      </w:pPr>
      <w:r>
        <w:rPr>
          <w:rFonts w:ascii="Arial" w:eastAsiaTheme="minorEastAsia" w:hAnsi="Arial" w:cs="Arial"/>
          <w:color w:val="000000"/>
          <w:sz w:val="20"/>
          <w:szCs w:val="20"/>
          <w:lang w:val="en-GB"/>
        </w:rPr>
        <w:t xml:space="preserve">10. Chandraprakash, Kumarasamy; Sankaran, Mathan; </w:t>
      </w:r>
      <w:r>
        <w:rPr>
          <w:rFonts w:ascii="Arial" w:eastAsiaTheme="minorEastAsia" w:hAnsi="Arial" w:cs="Arial"/>
          <w:color w:val="000000"/>
          <w:sz w:val="20"/>
          <w:szCs w:val="20"/>
          <w:lang w:val="en-GB"/>
        </w:rPr>
        <w:t>Uvarani, Chokalingam; Shankar, Ramasamy; Ata, Athar;</w:t>
      </w:r>
    </w:p>
    <w:p w:rsidR="003E0564" w:rsidRDefault="0026379A">
      <w:pPr>
        <w:autoSpaceDE w:val="0"/>
        <w:autoSpaceDN w:val="0"/>
        <w:adjustRightInd w:val="0"/>
        <w:rPr>
          <w:rFonts w:ascii="Arial" w:hAnsi="Arial" w:cs="Arial"/>
          <w:sz w:val="20"/>
          <w:szCs w:val="20"/>
          <w:lang w:val="en-GB"/>
        </w:rPr>
      </w:pPr>
      <w:r>
        <w:rPr>
          <w:rFonts w:ascii="Arial" w:eastAsiaTheme="minorEastAsia" w:hAnsi="Arial" w:cs="Arial"/>
          <w:color w:val="FF0000"/>
          <w:sz w:val="20"/>
          <w:szCs w:val="20"/>
          <w:lang w:val="en-GB"/>
        </w:rPr>
        <w:t>Dallemer, Frederic</w:t>
      </w:r>
      <w:r>
        <w:rPr>
          <w:rFonts w:ascii="Arial" w:eastAsiaTheme="minorEastAsia" w:hAnsi="Arial" w:cs="Arial"/>
          <w:color w:val="000000"/>
          <w:sz w:val="20"/>
          <w:szCs w:val="20"/>
          <w:lang w:val="en-GB"/>
        </w:rPr>
        <w:t xml:space="preserve">; Mohan, Palathurai Subramaniam. </w:t>
      </w:r>
      <w:r>
        <w:rPr>
          <w:rFonts w:ascii="Arial" w:eastAsiaTheme="minorEastAsia" w:hAnsi="Arial" w:cs="Arial"/>
          <w:sz w:val="20"/>
          <w:szCs w:val="20"/>
          <w:lang w:val="en-GB"/>
        </w:rPr>
        <w:t>A strategic approach to the synthesis of novel class of dispiroheterocyclic derivatives through 1,3 dipolar cycloaddition of azomethine ylide with (E)-3</w:t>
      </w:r>
      <w:r>
        <w:rPr>
          <w:rFonts w:ascii="Arial" w:eastAsiaTheme="minorEastAsia" w:hAnsi="Arial" w:cs="Arial"/>
          <w:sz w:val="20"/>
          <w:szCs w:val="20"/>
          <w:lang w:val="en-GB"/>
        </w:rPr>
        <w:t>-arylidene-2,3-dihydro-8-nitro-4-quinolone. Tetrahedron Letters (2013), 54(29), 3896-3901.</w:t>
      </w:r>
    </w:p>
    <w:p w:rsidR="003E0564" w:rsidRDefault="003E0564">
      <w:pPr>
        <w:autoSpaceDE w:val="0"/>
        <w:autoSpaceDN w:val="0"/>
        <w:adjustRightInd w:val="0"/>
        <w:rPr>
          <w:rFonts w:ascii="Arial" w:hAnsi="Arial" w:cs="Arial"/>
          <w:sz w:val="20"/>
          <w:szCs w:val="20"/>
          <w:lang w:val="en-GB"/>
        </w:rPr>
      </w:pPr>
    </w:p>
    <w:p w:rsidR="003E0564" w:rsidRDefault="0026379A">
      <w:pPr>
        <w:autoSpaceDE w:val="0"/>
        <w:autoSpaceDN w:val="0"/>
        <w:adjustRightInd w:val="0"/>
        <w:rPr>
          <w:rFonts w:ascii="Arial" w:eastAsiaTheme="minorEastAsia" w:hAnsi="Arial" w:cs="Arial"/>
          <w:sz w:val="20"/>
          <w:szCs w:val="20"/>
          <w:lang w:val="en-GB"/>
        </w:rPr>
      </w:pPr>
      <w:r>
        <w:rPr>
          <w:rFonts w:ascii="Arial" w:eastAsiaTheme="minorEastAsia" w:hAnsi="Arial" w:cs="Arial"/>
          <w:sz w:val="20"/>
          <w:szCs w:val="20"/>
          <w:lang w:val="en-GB"/>
        </w:rPr>
        <w:t xml:space="preserve">11. Prabhakaran, R.; Kalaivani, P.; Poornima, P.; </w:t>
      </w:r>
      <w:r>
        <w:rPr>
          <w:rFonts w:ascii="Arial" w:eastAsiaTheme="minorEastAsia" w:hAnsi="Arial" w:cs="Arial"/>
          <w:color w:val="FF0000"/>
          <w:sz w:val="20"/>
          <w:szCs w:val="20"/>
          <w:lang w:val="en-GB"/>
        </w:rPr>
        <w:t>Dallemer, F</w:t>
      </w:r>
      <w:r>
        <w:rPr>
          <w:rFonts w:ascii="Arial" w:eastAsiaTheme="minorEastAsia" w:hAnsi="Arial" w:cs="Arial"/>
          <w:sz w:val="20"/>
          <w:szCs w:val="20"/>
          <w:lang w:val="en-GB"/>
        </w:rPr>
        <w:t>.; Huang, R.; Vijaya Padma, V.; Natarajan, K.</w:t>
      </w:r>
    </w:p>
    <w:p w:rsidR="003E0564" w:rsidRDefault="0026379A">
      <w:pPr>
        <w:autoSpaceDE w:val="0"/>
        <w:autoSpaceDN w:val="0"/>
        <w:adjustRightInd w:val="0"/>
        <w:rPr>
          <w:rFonts w:ascii="Arial" w:eastAsiaTheme="minorEastAsia" w:hAnsi="Arial" w:cs="Arial"/>
          <w:sz w:val="20"/>
          <w:szCs w:val="20"/>
          <w:lang w:val="en-GB"/>
        </w:rPr>
      </w:pPr>
      <w:r>
        <w:rPr>
          <w:rFonts w:ascii="Arial" w:eastAsiaTheme="minorEastAsia" w:hAnsi="Arial" w:cs="Arial"/>
          <w:sz w:val="20"/>
          <w:szCs w:val="20"/>
          <w:lang w:val="en-GB"/>
        </w:rPr>
        <w:t>Synthesis, DNA/protein binding and in vitro cytotoxic stu</w:t>
      </w:r>
      <w:r>
        <w:rPr>
          <w:rFonts w:ascii="Arial" w:eastAsiaTheme="minorEastAsia" w:hAnsi="Arial" w:cs="Arial"/>
          <w:sz w:val="20"/>
          <w:szCs w:val="20"/>
          <w:lang w:val="en-GB"/>
        </w:rPr>
        <w:t xml:space="preserve">dies of new palladium metallothiosemicarbazones. </w:t>
      </w:r>
    </w:p>
    <w:p w:rsidR="003E0564" w:rsidRDefault="0026379A">
      <w:pPr>
        <w:autoSpaceDE w:val="0"/>
        <w:autoSpaceDN w:val="0"/>
        <w:adjustRightInd w:val="0"/>
        <w:rPr>
          <w:rFonts w:ascii="Arial" w:hAnsi="Arial" w:cs="Arial"/>
          <w:sz w:val="20"/>
          <w:szCs w:val="20"/>
          <w:lang w:val="en-GB"/>
        </w:rPr>
      </w:pPr>
      <w:r>
        <w:rPr>
          <w:rFonts w:ascii="Arial" w:eastAsiaTheme="minorEastAsia" w:hAnsi="Arial" w:cs="Arial"/>
          <w:sz w:val="20"/>
          <w:szCs w:val="20"/>
          <w:lang w:val="en-GB"/>
        </w:rPr>
        <w:t>Bioorganic &amp; Medicinal Chemistry (2013), 21(21), 6742-6752.</w:t>
      </w:r>
    </w:p>
    <w:p w:rsidR="003E0564" w:rsidRDefault="003E0564">
      <w:pPr>
        <w:autoSpaceDE w:val="0"/>
        <w:autoSpaceDN w:val="0"/>
        <w:adjustRightInd w:val="0"/>
        <w:rPr>
          <w:rFonts w:ascii="Arial" w:hAnsi="Arial" w:cs="Arial"/>
          <w:sz w:val="20"/>
          <w:szCs w:val="20"/>
          <w:lang w:val="en-GB"/>
        </w:rPr>
      </w:pPr>
    </w:p>
    <w:p w:rsidR="003E0564" w:rsidRDefault="003E0564">
      <w:pPr>
        <w:autoSpaceDE w:val="0"/>
        <w:autoSpaceDN w:val="0"/>
        <w:adjustRightInd w:val="0"/>
        <w:rPr>
          <w:rFonts w:ascii="Arial" w:eastAsia="Calibri" w:hAnsi="Arial" w:cs="Arial"/>
          <w:color w:val="000000"/>
          <w:sz w:val="20"/>
          <w:szCs w:val="20"/>
          <w:lang w:val="en-GB"/>
        </w:rPr>
      </w:pPr>
    </w:p>
    <w:p w:rsidR="003E0564" w:rsidRDefault="0026379A">
      <w:pPr>
        <w:autoSpaceDE w:val="0"/>
        <w:autoSpaceDN w:val="0"/>
        <w:adjustRightInd w:val="0"/>
        <w:rPr>
          <w:rFonts w:ascii="Arial" w:hAnsi="Arial" w:cs="Arial"/>
          <w:sz w:val="20"/>
          <w:szCs w:val="20"/>
          <w:lang w:val="en-GB"/>
        </w:rPr>
      </w:pPr>
      <w:r>
        <w:rPr>
          <w:rFonts w:ascii="Arial" w:eastAsia="Calibri" w:hAnsi="Arial" w:cs="Arial"/>
          <w:color w:val="000000"/>
          <w:sz w:val="20"/>
          <w:szCs w:val="20"/>
          <w:lang w:val="en-GB"/>
        </w:rPr>
        <w:t xml:space="preserve">12. Kalaivani, P.; Prabhakaran, R.; Poornima, P.; Huang, R.; Hornebecq, V.; </w:t>
      </w:r>
      <w:r>
        <w:rPr>
          <w:rFonts w:ascii="Arial" w:eastAsia="Calibri" w:hAnsi="Arial" w:cs="Arial"/>
          <w:color w:val="FF0000"/>
          <w:sz w:val="20"/>
          <w:szCs w:val="20"/>
          <w:lang w:val="en-GB"/>
        </w:rPr>
        <w:t>Dallemer, F</w:t>
      </w:r>
      <w:r>
        <w:rPr>
          <w:rFonts w:ascii="Arial" w:eastAsia="Calibri" w:hAnsi="Arial" w:cs="Arial"/>
          <w:color w:val="000000"/>
          <w:sz w:val="20"/>
          <w:szCs w:val="20"/>
          <w:lang w:val="en-GB"/>
        </w:rPr>
        <w:t xml:space="preserve">.; Vijaya Padma, V.; </w:t>
      </w:r>
      <w:r>
        <w:rPr>
          <w:rFonts w:ascii="Arial" w:eastAsia="Calibri" w:hAnsi="Arial" w:cs="Arial"/>
          <w:sz w:val="20"/>
          <w:szCs w:val="20"/>
          <w:lang w:val="en-GB"/>
        </w:rPr>
        <w:t xml:space="preserve">Natarajan, K. </w:t>
      </w:r>
      <w:r>
        <w:rPr>
          <w:rFonts w:ascii="Arial" w:eastAsiaTheme="minorEastAsia" w:hAnsi="Arial" w:cs="Arial"/>
          <w:sz w:val="20"/>
          <w:szCs w:val="20"/>
          <w:lang w:val="en-GB"/>
        </w:rPr>
        <w:t>Synthesis and structur</w:t>
      </w:r>
      <w:r>
        <w:rPr>
          <w:rFonts w:ascii="Arial" w:eastAsiaTheme="minorEastAsia" w:hAnsi="Arial" w:cs="Arial"/>
          <w:sz w:val="20"/>
          <w:szCs w:val="20"/>
          <w:lang w:val="en-GB"/>
        </w:rPr>
        <w:t xml:space="preserve">al characterization of new ruthenium(II) complexes and investigation of their </w:t>
      </w:r>
      <w:r>
        <w:rPr>
          <w:rFonts w:ascii="Arial" w:eastAsiaTheme="minorEastAsia" w:hAnsi="Arial" w:cs="Arial"/>
          <w:sz w:val="20"/>
          <w:szCs w:val="20"/>
          <w:lang w:val="en-GB"/>
        </w:rPr>
        <w:lastRenderedPageBreak/>
        <w:t xml:space="preserve">antiproliferative and metastatic effect against human lung cancer (A549) cells. </w:t>
      </w:r>
      <w:r>
        <w:rPr>
          <w:rFonts w:ascii="Arial" w:eastAsia="Calibri" w:hAnsi="Arial" w:cs="Arial"/>
          <w:sz w:val="20"/>
          <w:szCs w:val="20"/>
          <w:lang w:val="en-GB"/>
        </w:rPr>
        <w:t>RSC Advances (2013), 3(43), 20363-20378.</w:t>
      </w:r>
    </w:p>
    <w:p w:rsidR="003E0564" w:rsidRDefault="003E0564">
      <w:pPr>
        <w:autoSpaceDE w:val="0"/>
        <w:autoSpaceDN w:val="0"/>
        <w:adjustRightInd w:val="0"/>
        <w:spacing w:before="120"/>
        <w:jc w:val="both"/>
        <w:rPr>
          <w:rFonts w:ascii="Arial" w:hAnsi="Arial" w:cs="Arial"/>
          <w:color w:val="0000FF"/>
          <w:sz w:val="20"/>
          <w:szCs w:val="20"/>
          <w:lang w:val="en-GB"/>
        </w:rPr>
      </w:pPr>
    </w:p>
    <w:p w:rsidR="003E0564" w:rsidRDefault="0026379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lang w:val="en-GB"/>
        </w:rPr>
        <w:t>1 Brevet déposé en 2011 :</w:t>
      </w:r>
      <w:r>
        <w:rPr>
          <w:rFonts w:ascii="Arial" w:eastAsia="Calibri" w:hAnsi="Arial" w:cs="Arial"/>
          <w:color w:val="0000FF"/>
          <w:sz w:val="20"/>
          <w:szCs w:val="20"/>
          <w:lang w:val="en-GB"/>
        </w:rPr>
        <w:t xml:space="preserve">, </w:t>
      </w:r>
      <w:r>
        <w:rPr>
          <w:rFonts w:ascii="Arial" w:eastAsia="Calibri" w:hAnsi="Arial" w:cs="Arial"/>
          <w:sz w:val="20"/>
          <w:szCs w:val="20"/>
          <w:lang w:val="en-GB"/>
        </w:rPr>
        <w:t>par Dolle, Michael; Rozier</w:t>
      </w:r>
      <w:r>
        <w:rPr>
          <w:rFonts w:ascii="Arial" w:eastAsia="Calibri" w:hAnsi="Arial" w:cs="Arial"/>
          <w:sz w:val="20"/>
          <w:szCs w:val="20"/>
          <w:lang w:val="en-GB"/>
        </w:rPr>
        <w:t xml:space="preserve">, Patrick; Delaizir, Gaelle; Tarascon, Jean Marie; Viallet, Virgnie; Morcrette, Mathieu; Seznec, Vincent; Bouchet, Renaud; Aboulaich, Abdelmaula; </w:t>
      </w:r>
      <w:r>
        <w:rPr>
          <w:rFonts w:ascii="Arial" w:eastAsia="Calibri" w:hAnsi="Arial" w:cs="Arial"/>
          <w:color w:val="FF0000"/>
          <w:sz w:val="20"/>
          <w:szCs w:val="20"/>
          <w:lang w:val="en-GB"/>
        </w:rPr>
        <w:t>Tortet, Laurence</w:t>
      </w:r>
      <w:r>
        <w:rPr>
          <w:rFonts w:ascii="Arial" w:eastAsia="Calibri" w:hAnsi="Arial" w:cs="Arial"/>
          <w:sz w:val="20"/>
          <w:szCs w:val="20"/>
          <w:lang w:val="en-GB"/>
        </w:rPr>
        <w:t>: Process for preparation of a monolithic lithium ion battery by sintering under pulsed curren</w:t>
      </w:r>
      <w:r>
        <w:rPr>
          <w:rFonts w:ascii="Arial" w:eastAsia="Calibri" w:hAnsi="Arial" w:cs="Arial"/>
          <w:sz w:val="20"/>
          <w:szCs w:val="20"/>
          <w:lang w:val="en-GB"/>
        </w:rPr>
        <w:t xml:space="preserve">t. </w:t>
      </w:r>
      <w:r>
        <w:rPr>
          <w:rFonts w:ascii="Arial" w:eastAsia="Calibri" w:hAnsi="Arial" w:cs="Arial"/>
          <w:sz w:val="20"/>
          <w:szCs w:val="20"/>
        </w:rPr>
        <w:t>PCT Int. Appl. (2011), WO 2011101603 A1 20110825.</w:t>
      </w: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26379A">
      <w:pPr>
        <w:rPr>
          <w:rFonts w:ascii="Arial" w:hAnsi="Arial" w:cs="Arial"/>
          <w:b/>
          <w:bCs/>
        </w:rPr>
      </w:pPr>
      <w:r>
        <w:rPr>
          <w:rFonts w:ascii="Arial" w:hAnsi="Arial" w:cs="Arial"/>
          <w:b/>
          <w:bCs/>
        </w:rPr>
        <w:br w:type="page"/>
      </w:r>
    </w:p>
    <w:p w:rsidR="003E0564" w:rsidRDefault="0026379A">
      <w:pPr>
        <w:rPr>
          <w:rFonts w:ascii="Arial" w:hAnsi="Arial" w:cs="Arial"/>
        </w:rPr>
      </w:pPr>
      <w:r>
        <w:rPr>
          <w:rFonts w:ascii="Arial" w:hAnsi="Arial" w:cs="Arial"/>
          <w:b/>
          <w:bCs/>
        </w:rPr>
        <w:lastRenderedPageBreak/>
        <w:t>2. Montage du projet</w:t>
      </w:r>
    </w:p>
    <w:p w:rsidR="003E0564" w:rsidRDefault="003E0564">
      <w:pPr>
        <w:jc w:val="both"/>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jc w:val="both"/>
        <w:rPr>
          <w:rFonts w:ascii="Arial" w:hAnsi="Arial" w:cs="Arial"/>
          <w:b/>
          <w:bCs/>
          <w:sz w:val="20"/>
          <w:szCs w:val="20"/>
        </w:rPr>
      </w:pPr>
    </w:p>
    <w:p w:rsidR="003E0564" w:rsidRDefault="0026379A">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b/>
          <w:bCs/>
        </w:rPr>
        <w:t>2.1 Equipe(s) participant au projet</w:t>
      </w:r>
      <w:r>
        <w:rPr>
          <w:rFonts w:ascii="Arial" w:hAnsi="Arial" w:cs="Arial"/>
        </w:rPr>
        <w:t xml:space="preserve"> </w:t>
      </w:r>
      <w:r>
        <w:rPr>
          <w:rFonts w:ascii="Arial" w:hAnsi="Arial" w:cs="Arial"/>
          <w:sz w:val="20"/>
          <w:szCs w:val="20"/>
        </w:rPr>
        <w:t>(intitulé, laboratoire et organisme de rattachement, responsables concernés, coordonnées tel et mail)</w:t>
      </w: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26379A">
      <w:pPr>
        <w:pBdr>
          <w:top w:val="single" w:sz="4" w:space="1" w:color="auto"/>
          <w:left w:val="single" w:sz="4" w:space="4" w:color="auto"/>
          <w:bottom w:val="single" w:sz="4" w:space="1" w:color="auto"/>
          <w:right w:val="single" w:sz="4" w:space="4" w:color="auto"/>
        </w:pBdr>
      </w:pPr>
      <w:r>
        <w:t>Laboratoire MADIREL UMR/CNRS 7246</w:t>
      </w:r>
    </w:p>
    <w:p w:rsidR="003E0564" w:rsidRDefault="0026379A">
      <w:pPr>
        <w:pBdr>
          <w:top w:val="single" w:sz="4" w:space="1" w:color="auto"/>
          <w:left w:val="single" w:sz="4" w:space="4" w:color="auto"/>
          <w:bottom w:val="single" w:sz="4" w:space="1" w:color="auto"/>
          <w:right w:val="single" w:sz="4" w:space="4" w:color="auto"/>
        </w:pBdr>
      </w:pPr>
      <w:r>
        <w:t>Ai</w:t>
      </w:r>
      <w:r>
        <w:t>x-Marseille Université</w:t>
      </w:r>
    </w:p>
    <w:p w:rsidR="003E0564" w:rsidRDefault="0026379A">
      <w:pPr>
        <w:pBdr>
          <w:top w:val="single" w:sz="4" w:space="1" w:color="auto"/>
          <w:left w:val="single" w:sz="4" w:space="4" w:color="auto"/>
          <w:bottom w:val="single" w:sz="4" w:space="1" w:color="auto"/>
          <w:right w:val="single" w:sz="4" w:space="4" w:color="auto"/>
        </w:pBdr>
      </w:pPr>
      <w:r>
        <w:t>Centre Scientifique de Saint Jérôme</w:t>
      </w:r>
    </w:p>
    <w:p w:rsidR="003E0564" w:rsidRDefault="0026379A">
      <w:pPr>
        <w:pBdr>
          <w:top w:val="single" w:sz="4" w:space="1" w:color="auto"/>
          <w:left w:val="single" w:sz="4" w:space="4" w:color="auto"/>
          <w:bottom w:val="single" w:sz="4" w:space="1" w:color="auto"/>
          <w:right w:val="single" w:sz="4" w:space="4" w:color="auto"/>
        </w:pBdr>
      </w:pPr>
      <w:r>
        <w:t>F-13397 Marseille Cedex 20</w:t>
      </w:r>
    </w:p>
    <w:p w:rsidR="003E0564" w:rsidRDefault="003E0564">
      <w:pPr>
        <w:pBdr>
          <w:top w:val="single" w:sz="4" w:space="1" w:color="auto"/>
          <w:left w:val="single" w:sz="4" w:space="4" w:color="auto"/>
          <w:bottom w:val="single" w:sz="4" w:space="1" w:color="auto"/>
          <w:right w:val="single" w:sz="4" w:space="4" w:color="auto"/>
        </w:pBdr>
      </w:pPr>
    </w:p>
    <w:p w:rsidR="003E0564" w:rsidRDefault="0026379A">
      <w:pPr>
        <w:pBdr>
          <w:top w:val="single" w:sz="4" w:space="1" w:color="auto"/>
          <w:left w:val="single" w:sz="4" w:space="4" w:color="auto"/>
          <w:bottom w:val="single" w:sz="4" w:space="1" w:color="auto"/>
          <w:right w:val="single" w:sz="4" w:space="4" w:color="auto"/>
        </w:pBdr>
      </w:pPr>
      <w:r>
        <w:t>Tous les acteurs de ce projet sont rattachés à l’équipe « Interfaces entre Phases Condensées et Transport » du laboratoire MADIREL.</w:t>
      </w:r>
    </w:p>
    <w:p w:rsidR="003E0564" w:rsidRDefault="003E0564">
      <w:pPr>
        <w:pBdr>
          <w:top w:val="single" w:sz="4" w:space="1" w:color="auto"/>
          <w:left w:val="single" w:sz="4" w:space="4" w:color="auto"/>
          <w:bottom w:val="single" w:sz="4" w:space="1" w:color="auto"/>
          <w:right w:val="single" w:sz="4" w:space="4" w:color="auto"/>
        </w:pBdr>
      </w:pPr>
    </w:p>
    <w:p w:rsidR="003E0564" w:rsidRDefault="0026379A">
      <w:pPr>
        <w:pBdr>
          <w:top w:val="single" w:sz="4" w:space="1" w:color="auto"/>
          <w:left w:val="single" w:sz="4" w:space="4" w:color="auto"/>
          <w:bottom w:val="single" w:sz="4" w:space="1" w:color="auto"/>
          <w:right w:val="single" w:sz="4" w:space="4" w:color="auto"/>
        </w:pBdr>
      </w:pPr>
      <w:r>
        <w:t xml:space="preserve">Responsable scientifique  et responsable de la synthèse des </w:t>
      </w:r>
      <w:r>
        <w:rPr>
          <w:bCs/>
        </w:rPr>
        <w:t>zéolithes</w:t>
      </w:r>
    </w:p>
    <w:p w:rsidR="003E0564" w:rsidRDefault="0026379A">
      <w:pPr>
        <w:pBdr>
          <w:top w:val="single" w:sz="4" w:space="1" w:color="auto"/>
          <w:left w:val="single" w:sz="4" w:space="4" w:color="auto"/>
          <w:bottom w:val="single" w:sz="4" w:space="1" w:color="auto"/>
          <w:right w:val="single" w:sz="4" w:space="4" w:color="auto"/>
        </w:pBdr>
      </w:pPr>
      <w:r>
        <w:t>Oliver SCHÄF, Chargé de recherche - CNRS</w:t>
      </w:r>
    </w:p>
    <w:p w:rsidR="003E0564" w:rsidRDefault="0026379A">
      <w:pPr>
        <w:pBdr>
          <w:top w:val="single" w:sz="4" w:space="1" w:color="auto"/>
          <w:left w:val="single" w:sz="4" w:space="4" w:color="auto"/>
          <w:bottom w:val="single" w:sz="4" w:space="1" w:color="auto"/>
          <w:right w:val="single" w:sz="4" w:space="4" w:color="auto"/>
        </w:pBdr>
      </w:pPr>
      <w:r>
        <w:t>oliver.schaef@univ-amu.fr</w:t>
      </w:r>
    </w:p>
    <w:p w:rsidR="003E0564" w:rsidRDefault="0026379A">
      <w:pPr>
        <w:pBdr>
          <w:top w:val="single" w:sz="4" w:space="1" w:color="auto"/>
          <w:left w:val="single" w:sz="4" w:space="4" w:color="auto"/>
          <w:bottom w:val="single" w:sz="4" w:space="1" w:color="auto"/>
          <w:right w:val="single" w:sz="4" w:space="4" w:color="auto"/>
        </w:pBdr>
      </w:pPr>
      <w:r>
        <w:t>Tel : 04 13 55 18 34</w:t>
      </w:r>
    </w:p>
    <w:p w:rsidR="003E0564" w:rsidRDefault="003E0564">
      <w:pPr>
        <w:pBdr>
          <w:top w:val="single" w:sz="4" w:space="1" w:color="auto"/>
          <w:left w:val="single" w:sz="4" w:space="4" w:color="auto"/>
          <w:bottom w:val="single" w:sz="4" w:space="1" w:color="auto"/>
          <w:right w:val="single" w:sz="4" w:space="4" w:color="auto"/>
        </w:pBdr>
      </w:pPr>
    </w:p>
    <w:p w:rsidR="003E0564" w:rsidRDefault="003E0564">
      <w:pPr>
        <w:pBdr>
          <w:top w:val="single" w:sz="4" w:space="1" w:color="auto"/>
          <w:left w:val="single" w:sz="4" w:space="4" w:color="auto"/>
          <w:bottom w:val="single" w:sz="4" w:space="1" w:color="auto"/>
          <w:right w:val="single" w:sz="4" w:space="4" w:color="auto"/>
        </w:pBdr>
      </w:pPr>
    </w:p>
    <w:p w:rsidR="003E0564" w:rsidRDefault="0026379A">
      <w:pPr>
        <w:pBdr>
          <w:top w:val="single" w:sz="4" w:space="1" w:color="auto"/>
          <w:left w:val="single" w:sz="4" w:space="4" w:color="auto"/>
          <w:bottom w:val="single" w:sz="4" w:space="1" w:color="auto"/>
          <w:right w:val="single" w:sz="4" w:space="4" w:color="auto"/>
        </w:pBdr>
      </w:pPr>
      <w:r>
        <w:t>Responsable synthèse des macroporeux et mesures de caractérisation</w:t>
      </w:r>
    </w:p>
    <w:p w:rsidR="003E0564" w:rsidRDefault="0026379A">
      <w:pPr>
        <w:pBdr>
          <w:top w:val="single" w:sz="4" w:space="1" w:color="auto"/>
          <w:left w:val="single" w:sz="4" w:space="4" w:color="auto"/>
          <w:bottom w:val="single" w:sz="4" w:space="1" w:color="auto"/>
          <w:right w:val="single" w:sz="4" w:space="4" w:color="auto"/>
        </w:pBdr>
      </w:pPr>
      <w:r>
        <w:t>Laurence TORTET, Maître de Co</w:t>
      </w:r>
      <w:r>
        <w:t>nférences</w:t>
      </w:r>
    </w:p>
    <w:p w:rsidR="003E0564" w:rsidRDefault="0026379A">
      <w:pPr>
        <w:pBdr>
          <w:top w:val="single" w:sz="4" w:space="1" w:color="auto"/>
          <w:left w:val="single" w:sz="4" w:space="4" w:color="auto"/>
          <w:bottom w:val="single" w:sz="4" w:space="1" w:color="auto"/>
          <w:right w:val="single" w:sz="4" w:space="4" w:color="auto"/>
        </w:pBdr>
      </w:pPr>
      <w:r>
        <w:t>laurence.tortet@univ-amu.fr</w:t>
      </w:r>
    </w:p>
    <w:p w:rsidR="003E0564" w:rsidRDefault="0026379A">
      <w:pPr>
        <w:pBdr>
          <w:top w:val="single" w:sz="4" w:space="1" w:color="auto"/>
          <w:left w:val="single" w:sz="4" w:space="4" w:color="auto"/>
          <w:bottom w:val="single" w:sz="4" w:space="1" w:color="auto"/>
          <w:right w:val="single" w:sz="4" w:space="4" w:color="auto"/>
        </w:pBdr>
      </w:pPr>
      <w:r>
        <w:t>Tel : 04 13 55 18 36</w:t>
      </w:r>
    </w:p>
    <w:p w:rsidR="003E0564" w:rsidRDefault="003E0564">
      <w:pPr>
        <w:pBdr>
          <w:top w:val="single" w:sz="4" w:space="1" w:color="auto"/>
          <w:left w:val="single" w:sz="4" w:space="4" w:color="auto"/>
          <w:bottom w:val="single" w:sz="4" w:space="1" w:color="auto"/>
          <w:right w:val="single" w:sz="4" w:space="4" w:color="auto"/>
        </w:pBdr>
        <w:rPr>
          <w:color w:val="FF0000"/>
        </w:rPr>
      </w:pPr>
    </w:p>
    <w:p w:rsidR="003E0564" w:rsidRDefault="0026379A">
      <w:pPr>
        <w:pBdr>
          <w:top w:val="single" w:sz="4" w:space="1" w:color="auto"/>
          <w:left w:val="single" w:sz="4" w:space="4" w:color="auto"/>
          <w:bottom w:val="single" w:sz="4" w:space="1" w:color="auto"/>
          <w:right w:val="single" w:sz="4" w:space="4" w:color="auto"/>
        </w:pBdr>
      </w:pPr>
      <w:r>
        <w:t>Responsable synthèse des nanoparticules et leur caractérisation</w:t>
      </w:r>
    </w:p>
    <w:p w:rsidR="003E0564" w:rsidRDefault="0026379A">
      <w:pPr>
        <w:pBdr>
          <w:top w:val="single" w:sz="4" w:space="1" w:color="auto"/>
          <w:left w:val="single" w:sz="4" w:space="4" w:color="auto"/>
          <w:bottom w:val="single" w:sz="4" w:space="1" w:color="auto"/>
          <w:right w:val="single" w:sz="4" w:space="4" w:color="auto"/>
        </w:pBdr>
        <w:rPr>
          <w:lang w:val="en-GB"/>
        </w:rPr>
      </w:pPr>
      <w:r>
        <w:rPr>
          <w:lang w:val="en-GB"/>
        </w:rPr>
        <w:t>Frederic Dallemer, Professeur</w:t>
      </w:r>
    </w:p>
    <w:p w:rsidR="003E0564" w:rsidRDefault="0026379A">
      <w:pPr>
        <w:pBdr>
          <w:top w:val="single" w:sz="4" w:space="1" w:color="auto"/>
          <w:left w:val="single" w:sz="4" w:space="4" w:color="auto"/>
          <w:bottom w:val="single" w:sz="4" w:space="1" w:color="auto"/>
          <w:right w:val="single" w:sz="4" w:space="4" w:color="auto"/>
        </w:pBdr>
        <w:rPr>
          <w:lang w:val="en-GB"/>
        </w:rPr>
      </w:pPr>
      <w:r>
        <w:rPr>
          <w:lang w:val="en-GB"/>
        </w:rPr>
        <w:t>frederic.dallemer@univ-amu.fr</w:t>
      </w:r>
    </w:p>
    <w:p w:rsidR="003E0564" w:rsidRDefault="0026379A">
      <w:pPr>
        <w:pBdr>
          <w:top w:val="single" w:sz="4" w:space="1" w:color="auto"/>
          <w:left w:val="single" w:sz="4" w:space="4" w:color="auto"/>
          <w:bottom w:val="single" w:sz="4" w:space="1" w:color="auto"/>
          <w:right w:val="single" w:sz="4" w:space="4" w:color="auto"/>
        </w:pBdr>
      </w:pPr>
      <w:r>
        <w:t>Tel : 04 13 55 18 17</w:t>
      </w: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rPr>
          <w:rFonts w:ascii="Arial" w:hAnsi="Arial" w:cs="Arial"/>
          <w:b/>
          <w:bCs/>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sz w:val="20"/>
          <w:szCs w:val="20"/>
        </w:rPr>
      </w:pPr>
    </w:p>
    <w:p w:rsidR="003E0564" w:rsidRDefault="0026379A">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b/>
          <w:bCs/>
        </w:rPr>
        <w:t>2.2 Apports respectifs des équipes</w:t>
      </w:r>
      <w:r>
        <w:rPr>
          <w:rFonts w:ascii="Arial" w:hAnsi="Arial" w:cs="Arial"/>
          <w:sz w:val="22"/>
          <w:szCs w:val="22"/>
        </w:rPr>
        <w:t xml:space="preserve"> </w:t>
      </w:r>
      <w:r>
        <w:rPr>
          <w:rFonts w:ascii="Arial" w:hAnsi="Arial" w:cs="Arial"/>
          <w:sz w:val="20"/>
          <w:szCs w:val="20"/>
        </w:rPr>
        <w:t>le cas échéa</w:t>
      </w:r>
      <w:r>
        <w:rPr>
          <w:rFonts w:ascii="Arial" w:hAnsi="Arial" w:cs="Arial"/>
          <w:sz w:val="20"/>
          <w:szCs w:val="20"/>
        </w:rPr>
        <w:t>nt (du point de vue scientifique, technologique)</w:t>
      </w: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pPr>
    </w:p>
    <w:p w:rsidR="003E0564" w:rsidRDefault="0026379A">
      <w:pPr>
        <w:pBdr>
          <w:top w:val="single" w:sz="4" w:space="1" w:color="auto"/>
          <w:left w:val="single" w:sz="4" w:space="4" w:color="auto"/>
          <w:bottom w:val="single" w:sz="4" w:space="1" w:color="auto"/>
          <w:right w:val="single" w:sz="4" w:space="4" w:color="auto"/>
        </w:pBdr>
        <w:ind w:firstLine="708"/>
        <w:jc w:val="both"/>
      </w:pPr>
      <w:r>
        <w:t xml:space="preserve">Les scientifiques impliqués dans ce projet possèdent des expertises complémentaires. Ceci permettra d’en réaliser les objectifs en s’appuyant sur des bases scientifiques solides et reconnues. L’aspect </w:t>
      </w:r>
      <w:r>
        <w:t>pluridisciplinaire de ce projet ne constitue donc pas un problème. Les tâches seront réparties comme précisé dans la section 2.1.</w:t>
      </w:r>
    </w:p>
    <w:p w:rsidR="003E0564" w:rsidRDefault="0026379A">
      <w:pPr>
        <w:pBdr>
          <w:top w:val="single" w:sz="4" w:space="1" w:color="auto"/>
          <w:left w:val="single" w:sz="4" w:space="4" w:color="auto"/>
          <w:bottom w:val="single" w:sz="4" w:space="1" w:color="auto"/>
          <w:right w:val="single" w:sz="4" w:space="4" w:color="auto"/>
        </w:pBdr>
        <w:ind w:firstLine="708"/>
        <w:jc w:val="both"/>
      </w:pPr>
      <w:r>
        <w:t>Les équipements demandés viendront compléter le parc de caractérisation déjà disponible au MADIREL</w:t>
      </w:r>
      <w:r>
        <w:rPr>
          <w:color w:val="FF0000"/>
        </w:rPr>
        <w:t xml:space="preserve">. </w:t>
      </w:r>
      <w:r>
        <w:t>Les molécules marqueurs po</w:t>
      </w:r>
      <w:r>
        <w:t>ur les maladies respiratoires - NO molécule modèle  inorganique et décanal (C</w:t>
      </w:r>
      <w:r>
        <w:rPr>
          <w:vertAlign w:val="subscript"/>
        </w:rPr>
        <w:t>10</w:t>
      </w:r>
      <w:r>
        <w:t>H</w:t>
      </w:r>
      <w:r>
        <w:rPr>
          <w:vertAlign w:val="subscript"/>
        </w:rPr>
        <w:t>20</w:t>
      </w:r>
      <w:r>
        <w:t>O) molécule modèle organique – proposées dans le projet d’étude sont intéressantes pour la société SETNAG qui propose, dans le cadre de ce projet et pour toute sa durée, de m</w:t>
      </w:r>
      <w:r>
        <w:t>ettre à disposition un banc de test pour le dosage de quatre gaz/gaz avec vapeur.</w:t>
      </w:r>
    </w:p>
    <w:p w:rsidR="003E0564" w:rsidRDefault="0026379A">
      <w:pPr>
        <w:pBdr>
          <w:top w:val="single" w:sz="4" w:space="1" w:color="auto"/>
          <w:left w:val="single" w:sz="4" w:space="4" w:color="auto"/>
          <w:bottom w:val="single" w:sz="4" w:space="1" w:color="auto"/>
          <w:right w:val="single" w:sz="4" w:space="4" w:color="auto"/>
        </w:pBdr>
        <w:rPr>
          <w:rFonts w:ascii="Arial" w:hAnsi="Arial" w:cs="Arial"/>
          <w:sz w:val="20"/>
          <w:szCs w:val="20"/>
        </w:rPr>
      </w:pPr>
      <w:r>
        <w:t>Le laboratoire MADIREL mettra également à disposition un thermostat ultra-précis pour le dosage des vapeurs (H</w:t>
      </w:r>
      <w:r>
        <w:rPr>
          <w:vertAlign w:val="subscript"/>
        </w:rPr>
        <w:t>2</w:t>
      </w:r>
      <w:r>
        <w:t>O et décanal) par vaporisation, et notre équipe INPACT, un four</w:t>
      </w:r>
      <w:r>
        <w:t xml:space="preserve"> thermo régulé protégé contre les ondes électromagnétiques pour effectuer les tests sur les composés des capteurs et les capteurs eux-mêmes.</w:t>
      </w: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sz w:val="20"/>
          <w:szCs w:val="20"/>
        </w:rPr>
      </w:pPr>
    </w:p>
    <w:p w:rsidR="003E0564" w:rsidRDefault="0026379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bCs/>
        </w:rPr>
        <w:lastRenderedPageBreak/>
        <w:t>2.3 Demande de financement d’un post-doctorant dans le cadre du</w:t>
      </w:r>
      <w:r>
        <w:rPr>
          <w:rFonts w:ascii="Arial" w:hAnsi="Arial" w:cs="Arial"/>
          <w:b/>
          <w:bCs/>
          <w:sz w:val="20"/>
          <w:szCs w:val="20"/>
        </w:rPr>
        <w:t xml:space="preserve"> </w:t>
      </w:r>
      <w:r>
        <w:rPr>
          <w:rFonts w:ascii="Arial" w:hAnsi="Arial" w:cs="Arial"/>
          <w:b/>
          <w:bCs/>
        </w:rPr>
        <w:t xml:space="preserve">projet : </w:t>
      </w:r>
      <w:r>
        <w:rPr>
          <w:rFonts w:ascii="Arial" w:hAnsi="Arial" w:cs="Arial"/>
          <w:b/>
          <w:bCs/>
          <w:sz w:val="22"/>
          <w:szCs w:val="22"/>
        </w:rPr>
        <w:sym w:font="Wingdings" w:char="F072"/>
      </w:r>
      <w:r>
        <w:rPr>
          <w:rFonts w:ascii="Arial" w:hAnsi="Arial" w:cs="Arial"/>
        </w:rPr>
        <w:t xml:space="preserve"> </w:t>
      </w:r>
      <w:r>
        <w:rPr>
          <w:rFonts w:ascii="Arial" w:hAnsi="Arial" w:cs="Arial"/>
          <w:sz w:val="22"/>
          <w:szCs w:val="22"/>
        </w:rPr>
        <w:t>oui</w:t>
      </w:r>
      <w:r>
        <w:rPr>
          <w:rFonts w:ascii="Arial" w:hAnsi="Arial" w:cs="Arial"/>
        </w:rPr>
        <w:tab/>
      </w:r>
      <w:r>
        <w:rPr>
          <w:rFonts w:ascii="Arial" w:hAnsi="Arial" w:cs="Arial"/>
          <w:b/>
          <w:bCs/>
          <w:sz w:val="22"/>
          <w:szCs w:val="22"/>
        </w:rPr>
        <w:t>x</w:t>
      </w:r>
      <w:r>
        <w:rPr>
          <w:rFonts w:ascii="Arial" w:hAnsi="Arial" w:cs="Arial"/>
          <w:sz w:val="20"/>
          <w:szCs w:val="20"/>
        </w:rPr>
        <w:t xml:space="preserve"> </w:t>
      </w:r>
      <w:r>
        <w:rPr>
          <w:rFonts w:ascii="Arial" w:hAnsi="Arial" w:cs="Arial"/>
          <w:sz w:val="22"/>
          <w:szCs w:val="22"/>
        </w:rPr>
        <w:t>non</w:t>
      </w: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26379A">
      <w:pPr>
        <w:pBdr>
          <w:top w:val="single" w:sz="4" w:space="1" w:color="auto"/>
          <w:left w:val="single" w:sz="4" w:space="4" w:color="auto"/>
          <w:bottom w:val="single" w:sz="4" w:space="1" w:color="auto"/>
          <w:right w:val="single" w:sz="4" w:space="4" w:color="auto"/>
        </w:pBdr>
        <w:tabs>
          <w:tab w:val="left" w:pos="360"/>
        </w:tabs>
        <w:rPr>
          <w:rFonts w:ascii="Arial" w:hAnsi="Arial" w:cs="Arial"/>
          <w:b/>
          <w:bCs/>
          <w:sz w:val="20"/>
          <w:szCs w:val="20"/>
        </w:rPr>
      </w:pPr>
      <w:r>
        <w:rPr>
          <w:rFonts w:ascii="Arial" w:hAnsi="Arial" w:cs="Arial"/>
          <w:b/>
          <w:bCs/>
          <w:sz w:val="20"/>
          <w:szCs w:val="20"/>
        </w:rPr>
        <w:t xml:space="preserve">Si oui, justifier </w:t>
      </w:r>
      <w:r>
        <w:rPr>
          <w:rFonts w:ascii="Arial" w:hAnsi="Arial" w:cs="Arial"/>
          <w:b/>
          <w:bCs/>
          <w:sz w:val="20"/>
          <w:szCs w:val="20"/>
        </w:rPr>
        <w:t>cette demande dans le cadre du projet :</w:t>
      </w:r>
    </w:p>
    <w:p w:rsidR="003E0564" w:rsidRDefault="003E0564">
      <w:pPr>
        <w:pBdr>
          <w:top w:val="single" w:sz="4" w:space="1" w:color="auto"/>
          <w:left w:val="single" w:sz="4" w:space="4" w:color="auto"/>
          <w:bottom w:val="single" w:sz="4" w:space="1" w:color="auto"/>
          <w:right w:val="single" w:sz="4" w:space="4" w:color="auto"/>
        </w:pBdr>
        <w:tabs>
          <w:tab w:val="left" w:pos="360"/>
        </w:tabs>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26379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b/>
          <w:bCs/>
          <w:sz w:val="20"/>
          <w:szCs w:val="20"/>
        </w:rPr>
        <w:t>Un candidat est-il déjà pressenti</w:t>
      </w:r>
      <w:r>
        <w:rPr>
          <w:rFonts w:ascii="Arial" w:hAnsi="Arial" w:cs="Arial"/>
          <w:sz w:val="20"/>
          <w:szCs w:val="20"/>
        </w:rPr>
        <w:t xml:space="preserve">  : </w:t>
      </w:r>
      <w:r>
        <w:rPr>
          <w:rFonts w:ascii="Arial" w:hAnsi="Arial" w:cs="Arial"/>
          <w:b/>
          <w:bCs/>
          <w:sz w:val="22"/>
          <w:szCs w:val="22"/>
        </w:rPr>
        <w:sym w:font="Wingdings" w:char="F072"/>
      </w:r>
      <w:r>
        <w:rPr>
          <w:rFonts w:ascii="Arial" w:hAnsi="Arial" w:cs="Arial"/>
        </w:rPr>
        <w:t xml:space="preserve"> </w:t>
      </w:r>
      <w:r>
        <w:rPr>
          <w:rFonts w:ascii="Arial" w:hAnsi="Arial" w:cs="Arial"/>
          <w:sz w:val="22"/>
          <w:szCs w:val="22"/>
        </w:rPr>
        <w:t>oui</w:t>
      </w:r>
      <w:r>
        <w:rPr>
          <w:rFonts w:ascii="Arial" w:hAnsi="Arial" w:cs="Arial"/>
        </w:rPr>
        <w:tab/>
      </w:r>
      <w:r>
        <w:rPr>
          <w:rFonts w:ascii="Arial" w:hAnsi="Arial" w:cs="Arial"/>
          <w:b/>
          <w:bCs/>
          <w:sz w:val="22"/>
          <w:szCs w:val="22"/>
        </w:rPr>
        <w:sym w:font="Wingdings" w:char="F072"/>
      </w:r>
      <w:r>
        <w:rPr>
          <w:rFonts w:ascii="Arial" w:hAnsi="Arial" w:cs="Arial"/>
          <w:sz w:val="20"/>
          <w:szCs w:val="20"/>
        </w:rPr>
        <w:t xml:space="preserve"> </w:t>
      </w:r>
      <w:r>
        <w:rPr>
          <w:rFonts w:ascii="Arial" w:hAnsi="Arial" w:cs="Arial"/>
          <w:sz w:val="22"/>
          <w:szCs w:val="22"/>
        </w:rPr>
        <w:t>non</w:t>
      </w:r>
    </w:p>
    <w:p w:rsidR="003E0564" w:rsidRDefault="003E0564">
      <w:pPr>
        <w:pBdr>
          <w:top w:val="single" w:sz="4" w:space="1" w:color="auto"/>
          <w:left w:val="single" w:sz="4" w:space="4" w:color="auto"/>
          <w:bottom w:val="single" w:sz="4" w:space="1" w:color="auto"/>
          <w:right w:val="single" w:sz="4" w:space="4" w:color="auto"/>
        </w:pBdr>
        <w:rPr>
          <w:rFonts w:ascii="Arial" w:hAnsi="Arial" w:cs="Arial"/>
          <w:b/>
          <w:bCs/>
          <w:sz w:val="20"/>
          <w:szCs w:val="20"/>
        </w:rPr>
      </w:pPr>
    </w:p>
    <w:p w:rsidR="003E0564" w:rsidRDefault="0026379A">
      <w:pPr>
        <w:pBdr>
          <w:top w:val="single" w:sz="4" w:space="1" w:color="auto"/>
          <w:left w:val="single" w:sz="4" w:space="4" w:color="auto"/>
          <w:bottom w:val="single" w:sz="4" w:space="1" w:color="auto"/>
          <w:right w:val="single" w:sz="4" w:space="4" w:color="auto"/>
        </w:pBdr>
        <w:rPr>
          <w:rFonts w:ascii="Arial" w:hAnsi="Arial" w:cs="Arial"/>
          <w:b/>
          <w:bCs/>
          <w:sz w:val="20"/>
          <w:szCs w:val="20"/>
        </w:rPr>
      </w:pPr>
      <w:r>
        <w:rPr>
          <w:rFonts w:ascii="Arial" w:hAnsi="Arial" w:cs="Arial"/>
          <w:b/>
          <w:bCs/>
          <w:sz w:val="20"/>
          <w:szCs w:val="20"/>
        </w:rPr>
        <w:t>Si oui :</w:t>
      </w:r>
    </w:p>
    <w:p w:rsidR="003E0564" w:rsidRDefault="003E0564">
      <w:pPr>
        <w:pBdr>
          <w:top w:val="single" w:sz="4" w:space="1" w:color="auto"/>
          <w:left w:val="single" w:sz="4" w:space="4" w:color="auto"/>
          <w:bottom w:val="single" w:sz="4" w:space="1" w:color="auto"/>
          <w:right w:val="single" w:sz="4" w:space="4" w:color="auto"/>
        </w:pBdr>
        <w:outlineLvl w:val="0"/>
        <w:rPr>
          <w:rFonts w:ascii="Arial" w:hAnsi="Arial" w:cs="Arial"/>
          <w:b/>
          <w:bCs/>
          <w:sz w:val="20"/>
          <w:szCs w:val="20"/>
        </w:rPr>
      </w:pPr>
    </w:p>
    <w:p w:rsidR="003E0564" w:rsidRDefault="0026379A">
      <w:pPr>
        <w:pBdr>
          <w:top w:val="single" w:sz="4" w:space="1" w:color="auto"/>
          <w:left w:val="single" w:sz="4" w:space="4" w:color="auto"/>
          <w:bottom w:val="single" w:sz="4" w:space="1" w:color="auto"/>
          <w:right w:val="single" w:sz="4" w:space="4" w:color="auto"/>
        </w:pBdr>
        <w:spacing w:before="80"/>
        <w:rPr>
          <w:rFonts w:ascii="Arial" w:hAnsi="Arial" w:cs="Arial"/>
          <w:sz w:val="20"/>
          <w:szCs w:val="20"/>
        </w:rPr>
      </w:pPr>
      <w:r>
        <w:rPr>
          <w:rFonts w:ascii="Arial" w:hAnsi="Arial" w:cs="Arial"/>
          <w:sz w:val="20"/>
          <w:szCs w:val="20"/>
        </w:rPr>
        <w:t>Nom – Prénom :</w:t>
      </w:r>
    </w:p>
    <w:p w:rsidR="003E0564" w:rsidRDefault="0026379A">
      <w:pPr>
        <w:pBdr>
          <w:top w:val="single" w:sz="4" w:space="1" w:color="auto"/>
          <w:left w:val="single" w:sz="4" w:space="4" w:color="auto"/>
          <w:bottom w:val="single" w:sz="4" w:space="1" w:color="auto"/>
          <w:right w:val="single" w:sz="4" w:space="4" w:color="auto"/>
        </w:pBdr>
        <w:spacing w:before="80"/>
        <w:rPr>
          <w:rFonts w:ascii="Arial" w:hAnsi="Arial" w:cs="Arial"/>
          <w:sz w:val="20"/>
          <w:szCs w:val="20"/>
        </w:rPr>
      </w:pPr>
      <w:r>
        <w:rPr>
          <w:rFonts w:ascii="Arial" w:hAnsi="Arial" w:cs="Arial"/>
          <w:sz w:val="20"/>
          <w:szCs w:val="20"/>
        </w:rPr>
        <w:t xml:space="preserve">Age : </w:t>
      </w:r>
    </w:p>
    <w:p w:rsidR="003E0564" w:rsidRDefault="0026379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Nationalité :</w:t>
      </w: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26379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Adresse personnelle: </w:t>
      </w: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26379A">
      <w:pPr>
        <w:pBdr>
          <w:top w:val="single" w:sz="4" w:space="1" w:color="auto"/>
          <w:left w:val="single" w:sz="4" w:space="4" w:color="auto"/>
          <w:bottom w:val="single" w:sz="4" w:space="1" w:color="auto"/>
          <w:right w:val="single" w:sz="4" w:space="4" w:color="auto"/>
        </w:pBdr>
        <w:outlineLvl w:val="0"/>
        <w:rPr>
          <w:rFonts w:ascii="Arial" w:hAnsi="Arial" w:cs="Arial"/>
          <w:sz w:val="20"/>
          <w:szCs w:val="20"/>
        </w:rPr>
      </w:pPr>
      <w:r>
        <w:rPr>
          <w:rFonts w:ascii="Arial" w:hAnsi="Arial" w:cs="Arial"/>
          <w:sz w:val="20"/>
          <w:szCs w:val="20"/>
        </w:rPr>
        <w:t xml:space="preserve">E-mail : </w:t>
      </w:r>
    </w:p>
    <w:p w:rsidR="003E0564" w:rsidRDefault="003E0564">
      <w:pPr>
        <w:pBdr>
          <w:top w:val="single" w:sz="4" w:space="1" w:color="auto"/>
          <w:left w:val="single" w:sz="4" w:space="4" w:color="auto"/>
          <w:bottom w:val="single" w:sz="4" w:space="1" w:color="auto"/>
          <w:right w:val="single" w:sz="4" w:space="4" w:color="auto"/>
        </w:pBdr>
        <w:outlineLvl w:val="0"/>
        <w:rPr>
          <w:rFonts w:ascii="Arial" w:hAnsi="Arial" w:cs="Arial"/>
          <w:sz w:val="20"/>
          <w:szCs w:val="20"/>
        </w:rPr>
      </w:pPr>
    </w:p>
    <w:p w:rsidR="003E0564" w:rsidRDefault="0026379A">
      <w:pPr>
        <w:pBdr>
          <w:top w:val="single" w:sz="4" w:space="1" w:color="auto"/>
          <w:left w:val="single" w:sz="4" w:space="4" w:color="auto"/>
          <w:bottom w:val="single" w:sz="4" w:space="1" w:color="auto"/>
          <w:right w:val="single" w:sz="4" w:space="4" w:color="auto"/>
        </w:pBdr>
        <w:outlineLvl w:val="0"/>
        <w:rPr>
          <w:rFonts w:ascii="Arial" w:hAnsi="Arial" w:cs="Arial"/>
          <w:sz w:val="20"/>
          <w:szCs w:val="20"/>
        </w:rPr>
      </w:pPr>
      <w:r>
        <w:rPr>
          <w:rFonts w:ascii="Arial" w:hAnsi="Arial" w:cs="Arial"/>
          <w:sz w:val="20"/>
          <w:szCs w:val="20"/>
        </w:rPr>
        <w:t>Intitulé de la thèse :</w:t>
      </w:r>
    </w:p>
    <w:p w:rsidR="003E0564" w:rsidRDefault="003E0564">
      <w:pPr>
        <w:pBdr>
          <w:top w:val="single" w:sz="4" w:space="1" w:color="auto"/>
          <w:left w:val="single" w:sz="4" w:space="4" w:color="auto"/>
          <w:bottom w:val="single" w:sz="4" w:space="1" w:color="auto"/>
          <w:right w:val="single" w:sz="4" w:space="4" w:color="auto"/>
        </w:pBdr>
        <w:outlineLvl w:val="0"/>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outlineLvl w:val="0"/>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outlineLvl w:val="0"/>
        <w:rPr>
          <w:rFonts w:ascii="Arial" w:hAnsi="Arial" w:cs="Arial"/>
          <w:sz w:val="20"/>
          <w:szCs w:val="20"/>
        </w:rPr>
      </w:pPr>
    </w:p>
    <w:p w:rsidR="003E0564" w:rsidRDefault="0026379A">
      <w:pPr>
        <w:pBdr>
          <w:top w:val="single" w:sz="4" w:space="1" w:color="auto"/>
          <w:left w:val="single" w:sz="4" w:space="4" w:color="auto"/>
          <w:bottom w:val="single" w:sz="4" w:space="1" w:color="auto"/>
          <w:right w:val="single" w:sz="4" w:space="4" w:color="auto"/>
        </w:pBdr>
        <w:outlineLvl w:val="0"/>
        <w:rPr>
          <w:rFonts w:ascii="Arial" w:hAnsi="Arial" w:cs="Arial"/>
          <w:sz w:val="20"/>
          <w:szCs w:val="20"/>
        </w:rPr>
      </w:pPr>
      <w:r>
        <w:rPr>
          <w:rFonts w:ascii="Arial" w:hAnsi="Arial" w:cs="Arial"/>
          <w:sz w:val="20"/>
          <w:szCs w:val="20"/>
        </w:rPr>
        <w:t>Date de soutenance :</w:t>
      </w:r>
    </w:p>
    <w:p w:rsidR="003E0564" w:rsidRDefault="0026379A">
      <w:pPr>
        <w:pBdr>
          <w:top w:val="single" w:sz="4" w:space="1" w:color="auto"/>
          <w:left w:val="single" w:sz="4" w:space="4" w:color="auto"/>
          <w:bottom w:val="single" w:sz="4" w:space="1" w:color="auto"/>
          <w:right w:val="single" w:sz="4" w:space="4" w:color="auto"/>
        </w:pBdr>
        <w:outlineLvl w:val="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3E0564" w:rsidRDefault="0026379A">
      <w:pPr>
        <w:pBdr>
          <w:top w:val="single" w:sz="4" w:space="1" w:color="auto"/>
          <w:left w:val="single" w:sz="4" w:space="4" w:color="auto"/>
          <w:bottom w:val="single" w:sz="4" w:space="1" w:color="auto"/>
          <w:right w:val="single" w:sz="4" w:space="4" w:color="auto"/>
        </w:pBdr>
        <w:outlineLvl w:val="0"/>
        <w:rPr>
          <w:rFonts w:ascii="Arial" w:hAnsi="Arial" w:cs="Arial"/>
          <w:sz w:val="20"/>
          <w:szCs w:val="20"/>
        </w:rPr>
      </w:pPr>
      <w:r>
        <w:rPr>
          <w:rFonts w:ascii="Arial" w:hAnsi="Arial" w:cs="Arial"/>
          <w:sz w:val="20"/>
          <w:szCs w:val="20"/>
        </w:rPr>
        <w:t>Etablissement d'obtention</w:t>
      </w:r>
      <w:r>
        <w:rPr>
          <w:rFonts w:ascii="Arial" w:hAnsi="Arial" w:cs="Arial"/>
          <w:sz w:val="20"/>
          <w:szCs w:val="20"/>
        </w:rPr>
        <w:t xml:space="preserve"> du diplôme :</w:t>
      </w:r>
    </w:p>
    <w:p w:rsidR="003E0564" w:rsidRDefault="003E0564">
      <w:pPr>
        <w:pBdr>
          <w:top w:val="single" w:sz="4" w:space="1" w:color="auto"/>
          <w:left w:val="single" w:sz="4" w:space="4" w:color="auto"/>
          <w:bottom w:val="single" w:sz="4" w:space="1" w:color="auto"/>
          <w:right w:val="single" w:sz="4" w:space="4" w:color="auto"/>
        </w:pBdr>
        <w:outlineLvl w:val="0"/>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outlineLvl w:val="0"/>
        <w:rPr>
          <w:rFonts w:ascii="Arial" w:hAnsi="Arial" w:cs="Arial"/>
          <w:sz w:val="20"/>
          <w:szCs w:val="20"/>
        </w:rPr>
      </w:pPr>
    </w:p>
    <w:p w:rsidR="003E0564" w:rsidRDefault="0026379A">
      <w:pPr>
        <w:pBdr>
          <w:top w:val="single" w:sz="4" w:space="1" w:color="auto"/>
          <w:left w:val="single" w:sz="4" w:space="4" w:color="auto"/>
          <w:bottom w:val="single" w:sz="4" w:space="1" w:color="auto"/>
          <w:right w:val="single" w:sz="4" w:space="4" w:color="auto"/>
        </w:pBdr>
        <w:outlineLvl w:val="0"/>
        <w:rPr>
          <w:rFonts w:ascii="Arial" w:hAnsi="Arial" w:cs="Arial"/>
          <w:sz w:val="20"/>
          <w:szCs w:val="20"/>
        </w:rPr>
      </w:pPr>
      <w:r>
        <w:rPr>
          <w:rFonts w:ascii="Arial" w:hAnsi="Arial" w:cs="Arial"/>
          <w:sz w:val="20"/>
          <w:szCs w:val="20"/>
        </w:rPr>
        <w:t xml:space="preserve">Localisation (ville, pays) : </w:t>
      </w:r>
    </w:p>
    <w:p w:rsidR="003E0564" w:rsidRDefault="003E0564">
      <w:pPr>
        <w:pBdr>
          <w:top w:val="single" w:sz="4" w:space="1" w:color="auto"/>
          <w:left w:val="single" w:sz="4" w:space="4" w:color="auto"/>
          <w:bottom w:val="single" w:sz="4" w:space="1" w:color="auto"/>
          <w:right w:val="single" w:sz="4" w:space="4" w:color="auto"/>
        </w:pBdr>
        <w:outlineLvl w:val="0"/>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26379A">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Situation actuelle du post doctorant :</w:t>
      </w: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20"/>
          <w:szCs w:val="20"/>
        </w:rPr>
      </w:pPr>
    </w:p>
    <w:p w:rsidR="003E0564" w:rsidRDefault="0026379A">
      <w:pPr>
        <w:pBdr>
          <w:top w:val="single" w:sz="4" w:space="1" w:color="auto"/>
          <w:left w:val="single" w:sz="4" w:space="4" w:color="auto"/>
          <w:bottom w:val="single" w:sz="4" w:space="1" w:color="auto"/>
          <w:right w:val="single" w:sz="4" w:space="4" w:color="auto"/>
        </w:pBdr>
        <w:rPr>
          <w:rFonts w:ascii="Arial" w:hAnsi="Arial" w:cs="Arial"/>
          <w:i/>
          <w:iCs/>
          <w:sz w:val="20"/>
          <w:szCs w:val="20"/>
        </w:rPr>
      </w:pPr>
      <w:r>
        <w:rPr>
          <w:rFonts w:ascii="Arial" w:hAnsi="Arial" w:cs="Arial"/>
          <w:b/>
          <w:bCs/>
          <w:i/>
          <w:iCs/>
          <w:sz w:val="20"/>
          <w:szCs w:val="20"/>
          <w:u w:val="single"/>
        </w:rPr>
        <w:t>NB</w:t>
      </w:r>
      <w:r>
        <w:rPr>
          <w:rFonts w:ascii="Arial" w:hAnsi="Arial" w:cs="Arial"/>
          <w:i/>
          <w:iCs/>
          <w:sz w:val="20"/>
          <w:szCs w:val="20"/>
        </w:rPr>
        <w:t> :</w:t>
      </w:r>
    </w:p>
    <w:p w:rsidR="003E0564" w:rsidRDefault="003E0564">
      <w:pPr>
        <w:pBdr>
          <w:top w:val="single" w:sz="4" w:space="1" w:color="auto"/>
          <w:left w:val="single" w:sz="4" w:space="4" w:color="auto"/>
          <w:bottom w:val="single" w:sz="4" w:space="1" w:color="auto"/>
          <w:right w:val="single" w:sz="4" w:space="4" w:color="auto"/>
        </w:pBdr>
        <w:rPr>
          <w:rFonts w:ascii="Arial" w:hAnsi="Arial" w:cs="Arial"/>
          <w:i/>
          <w:iCs/>
          <w:sz w:val="4"/>
          <w:szCs w:val="4"/>
        </w:rPr>
      </w:pPr>
    </w:p>
    <w:p w:rsidR="003E0564" w:rsidRDefault="0026379A">
      <w:pPr>
        <w:pBdr>
          <w:top w:val="single" w:sz="4" w:space="1" w:color="auto"/>
          <w:left w:val="single" w:sz="4" w:space="4" w:color="auto"/>
          <w:bottom w:val="single" w:sz="4" w:space="1" w:color="auto"/>
          <w:right w:val="single" w:sz="4" w:space="4" w:color="auto"/>
        </w:pBdr>
        <w:rPr>
          <w:rFonts w:ascii="Arial" w:hAnsi="Arial" w:cs="Arial"/>
          <w:i/>
          <w:iCs/>
          <w:sz w:val="20"/>
          <w:szCs w:val="20"/>
        </w:rPr>
      </w:pPr>
      <w:r>
        <w:rPr>
          <w:rFonts w:ascii="Arial" w:hAnsi="Arial" w:cs="Arial"/>
          <w:i/>
          <w:iCs/>
          <w:sz w:val="20"/>
          <w:szCs w:val="20"/>
        </w:rPr>
        <w:t>Le candidat post-doc devra réunir les conditions suivantes :</w:t>
      </w:r>
    </w:p>
    <w:p w:rsidR="003E0564" w:rsidRDefault="003E0564">
      <w:pPr>
        <w:pBdr>
          <w:top w:val="single" w:sz="4" w:space="1" w:color="auto"/>
          <w:left w:val="single" w:sz="4" w:space="4" w:color="auto"/>
          <w:bottom w:val="single" w:sz="4" w:space="1" w:color="auto"/>
          <w:right w:val="single" w:sz="4" w:space="4" w:color="auto"/>
        </w:pBdr>
        <w:rPr>
          <w:rFonts w:ascii="Arial" w:hAnsi="Arial" w:cs="Arial"/>
          <w:sz w:val="4"/>
          <w:szCs w:val="4"/>
        </w:rPr>
      </w:pPr>
    </w:p>
    <w:p w:rsidR="003E0564" w:rsidRDefault="0026379A">
      <w:pPr>
        <w:pBdr>
          <w:top w:val="single" w:sz="4" w:space="1" w:color="auto"/>
          <w:left w:val="single" w:sz="4" w:space="4" w:color="auto"/>
          <w:bottom w:val="single" w:sz="4" w:space="1" w:color="auto"/>
          <w:right w:val="single" w:sz="4" w:space="4" w:color="auto"/>
        </w:pBdr>
        <w:ind w:left="420" w:hanging="420"/>
        <w:rPr>
          <w:rFonts w:ascii="Arial" w:hAnsi="Arial" w:cs="Arial"/>
          <w:i/>
          <w:iCs/>
          <w:sz w:val="20"/>
          <w:szCs w:val="20"/>
        </w:rPr>
      </w:pPr>
      <w:r>
        <w:rPr>
          <w:rFonts w:ascii="Arial" w:hAnsi="Arial" w:cs="Arial"/>
          <w:i/>
          <w:iCs/>
          <w:sz w:val="20"/>
          <w:szCs w:val="20"/>
        </w:rPr>
        <w:tab/>
      </w:r>
      <w:r>
        <w:rPr>
          <w:rFonts w:ascii="Arial" w:hAnsi="Arial" w:cs="Arial"/>
          <w:i/>
          <w:iCs/>
          <w:sz w:val="20"/>
          <w:szCs w:val="20"/>
        </w:rPr>
        <w:t>- Jeune chercheur titulaire d'une thèse ou d'un diplôme équivalent obtenu hors région Provence-Alpes-Côte d’Azur   et se trouvant, au moment de la demande, en poste ou en stage post-doctoral dans un laboratoire situé hors région Provence-Alpes-Côte d’Azur.</w:t>
      </w:r>
      <w:r>
        <w:rPr>
          <w:rFonts w:ascii="Arial" w:hAnsi="Arial" w:cs="Arial"/>
          <w:i/>
          <w:iCs/>
          <w:sz w:val="20"/>
          <w:szCs w:val="20"/>
        </w:rPr>
        <w:t xml:space="preserve"> Une attention particulière sera portée aux candidats de nationalité étrangère. </w:t>
      </w:r>
    </w:p>
    <w:p w:rsidR="003E0564" w:rsidRDefault="003E0564">
      <w:pPr>
        <w:pBdr>
          <w:top w:val="single" w:sz="4" w:space="1" w:color="auto"/>
          <w:left w:val="single" w:sz="4" w:space="4" w:color="auto"/>
          <w:bottom w:val="single" w:sz="4" w:space="1" w:color="auto"/>
          <w:right w:val="single" w:sz="4" w:space="4" w:color="auto"/>
        </w:pBdr>
        <w:ind w:left="420" w:hanging="420"/>
        <w:rPr>
          <w:rFonts w:ascii="Arial" w:hAnsi="Arial" w:cs="Arial"/>
          <w:i/>
          <w:iCs/>
          <w:sz w:val="4"/>
          <w:szCs w:val="4"/>
        </w:rPr>
      </w:pPr>
    </w:p>
    <w:p w:rsidR="003E0564" w:rsidRDefault="0026379A">
      <w:pPr>
        <w:pBdr>
          <w:top w:val="single" w:sz="4" w:space="1" w:color="auto"/>
          <w:left w:val="single" w:sz="4" w:space="4" w:color="auto"/>
          <w:bottom w:val="single" w:sz="4" w:space="1" w:color="auto"/>
          <w:right w:val="single" w:sz="4" w:space="4" w:color="auto"/>
        </w:pBdr>
        <w:ind w:left="420" w:hanging="420"/>
        <w:rPr>
          <w:rFonts w:ascii="Arial" w:hAnsi="Arial" w:cs="Arial"/>
          <w:i/>
          <w:iCs/>
          <w:sz w:val="20"/>
          <w:szCs w:val="20"/>
        </w:rPr>
      </w:pPr>
      <w:r>
        <w:rPr>
          <w:rFonts w:ascii="Arial" w:hAnsi="Arial" w:cs="Arial"/>
          <w:i/>
          <w:iCs/>
          <w:sz w:val="20"/>
          <w:szCs w:val="20"/>
        </w:rPr>
        <w:tab/>
        <w:t xml:space="preserve">- Agé de 35 ans maximum au moment du dépôt du dossier </w:t>
      </w:r>
    </w:p>
    <w:p w:rsidR="003E0564" w:rsidRDefault="003E0564">
      <w:pPr>
        <w:pBdr>
          <w:top w:val="single" w:sz="4" w:space="1" w:color="auto"/>
          <w:left w:val="single" w:sz="4" w:space="4" w:color="auto"/>
          <w:bottom w:val="single" w:sz="4" w:space="1" w:color="auto"/>
          <w:right w:val="single" w:sz="4" w:space="4" w:color="auto"/>
        </w:pBdr>
        <w:rPr>
          <w:rFonts w:ascii="Arial" w:hAnsi="Arial" w:cs="Arial"/>
          <w:i/>
          <w:iCs/>
          <w:sz w:val="4"/>
          <w:szCs w:val="4"/>
        </w:rPr>
      </w:pPr>
    </w:p>
    <w:p w:rsidR="003E0564" w:rsidRDefault="0026379A">
      <w:pPr>
        <w:pBdr>
          <w:top w:val="single" w:sz="4" w:space="1" w:color="auto"/>
          <w:left w:val="single" w:sz="4" w:space="4" w:color="auto"/>
          <w:bottom w:val="single" w:sz="4" w:space="1" w:color="auto"/>
          <w:right w:val="single" w:sz="4" w:space="4" w:color="auto"/>
        </w:pBdr>
        <w:ind w:left="420" w:hanging="420"/>
        <w:rPr>
          <w:rFonts w:ascii="Arial" w:hAnsi="Arial" w:cs="Arial"/>
          <w:sz w:val="20"/>
          <w:szCs w:val="20"/>
        </w:rPr>
      </w:pPr>
      <w:r>
        <w:rPr>
          <w:rFonts w:ascii="Arial" w:hAnsi="Arial" w:cs="Arial"/>
          <w:i/>
          <w:iCs/>
          <w:sz w:val="20"/>
          <w:szCs w:val="20"/>
        </w:rPr>
        <w:tab/>
        <w:t xml:space="preserve">- La durée du séjour doit être au minimum de 12 mois consécutifs </w:t>
      </w:r>
    </w:p>
    <w:p w:rsidR="003E0564" w:rsidRDefault="003E0564">
      <w:pPr>
        <w:spacing w:before="120" w:line="276" w:lineRule="auto"/>
        <w:jc w:val="both"/>
        <w:rPr>
          <w:rFonts w:ascii="Arial" w:hAnsi="Arial" w:cs="Arial"/>
          <w:b/>
          <w:bCs/>
          <w:sz w:val="20"/>
          <w:szCs w:val="20"/>
        </w:rPr>
      </w:pPr>
    </w:p>
    <w:p w:rsidR="003E0564" w:rsidRDefault="003E0564">
      <w:pPr>
        <w:rPr>
          <w:rFonts w:ascii="Arial" w:hAnsi="Arial" w:cs="Arial"/>
        </w:rPr>
      </w:pPr>
    </w:p>
    <w:p w:rsidR="003E0564" w:rsidRDefault="0026379A">
      <w:pPr>
        <w:pStyle w:val="Paragraphedeliste1"/>
        <w:jc w:val="center"/>
        <w:rPr>
          <w:rFonts w:ascii="Arial" w:hAnsi="Arial" w:cs="Arial"/>
          <w:b/>
          <w:bCs/>
          <w:sz w:val="24"/>
          <w:szCs w:val="24"/>
          <w:u w:val="single"/>
          <w:lang w:val="fr-FR"/>
        </w:rPr>
      </w:pPr>
      <w:r>
        <w:rPr>
          <w:rFonts w:ascii="Arial" w:hAnsi="Arial" w:cs="Arial"/>
          <w:b/>
          <w:bCs/>
          <w:sz w:val="24"/>
          <w:szCs w:val="24"/>
          <w:u w:val="single"/>
          <w:lang w:val="fr-FR"/>
        </w:rPr>
        <w:t>PLAN DE FINANCEMENT - INVESTISSEMENT</w:t>
      </w:r>
    </w:p>
    <w:p w:rsidR="003E0564" w:rsidRDefault="003E0564">
      <w:pPr>
        <w:pStyle w:val="Paragraphedeliste1"/>
        <w:jc w:val="center"/>
        <w:rPr>
          <w:rFonts w:ascii="Arial" w:hAnsi="Arial" w:cs="Arial"/>
          <w:sz w:val="4"/>
          <w:szCs w:val="4"/>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12"/>
      </w:tblGrid>
      <w:tr w:rsidR="003E0564">
        <w:trPr>
          <w:trHeight w:val="13057"/>
        </w:trPr>
        <w:tc>
          <w:tcPr>
            <w:tcW w:w="10420" w:type="dxa"/>
            <w:tcBorders>
              <w:top w:val="nil"/>
              <w:left w:val="nil"/>
              <w:bottom w:val="nil"/>
              <w:right w:val="nil"/>
            </w:tcBorders>
          </w:tcPr>
          <w:p w:rsidR="003E0564" w:rsidRDefault="003E0564">
            <w:pPr>
              <w:rPr>
                <w:rFonts w:ascii="Arial" w:hAnsi="Arial" w:cs="Arial"/>
              </w:rPr>
            </w:pPr>
          </w:p>
          <w:p w:rsidR="003E0564" w:rsidRDefault="0026379A">
            <w:pPr>
              <w:pStyle w:val="Paragraphedeliste1"/>
              <w:numPr>
                <w:ilvl w:val="0"/>
                <w:numId w:val="33"/>
              </w:numPr>
              <w:rPr>
                <w:rFonts w:ascii="Arial" w:hAnsi="Arial" w:cs="Arial"/>
                <w:b/>
                <w:bCs/>
                <w:u w:val="single"/>
                <w:lang w:val="fr-FR"/>
              </w:rPr>
            </w:pPr>
            <w:r>
              <w:rPr>
                <w:rFonts w:ascii="Arial" w:hAnsi="Arial" w:cs="Arial"/>
                <w:sz w:val="20"/>
                <w:szCs w:val="20"/>
                <w:lang w:val="fr-FR"/>
              </w:rPr>
              <w:t>Ne concer</w:t>
            </w:r>
            <w:r>
              <w:rPr>
                <w:rFonts w:ascii="Arial" w:hAnsi="Arial" w:cs="Arial"/>
                <w:sz w:val="20"/>
                <w:szCs w:val="20"/>
                <w:lang w:val="fr-FR"/>
              </w:rPr>
              <w:t>ne que les dépenses engagées et justifiées par le bénéficiaire de la subvention</w:t>
            </w:r>
          </w:p>
          <w:p w:rsidR="003E0564" w:rsidRDefault="003E0564">
            <w:pPr>
              <w:rPr>
                <w:rFonts w:ascii="Arial" w:hAnsi="Arial" w:cs="Arial"/>
                <w:b/>
                <w:bCs/>
                <w:u w:val="single"/>
              </w:rPr>
            </w:pPr>
          </w:p>
          <w:p w:rsidR="003E0564" w:rsidRDefault="0026379A">
            <w:pPr>
              <w:pStyle w:val="Paragraphedeliste1"/>
              <w:numPr>
                <w:ilvl w:val="0"/>
                <w:numId w:val="33"/>
              </w:numPr>
              <w:rPr>
                <w:rFonts w:ascii="Arial" w:hAnsi="Arial" w:cs="Arial"/>
                <w:b/>
                <w:bCs/>
                <w:u w:val="single"/>
                <w:lang w:val="fr-FR"/>
              </w:rPr>
            </w:pPr>
            <w:r>
              <w:rPr>
                <w:rFonts w:ascii="Arial" w:hAnsi="Arial" w:cs="Arial"/>
                <w:sz w:val="20"/>
                <w:szCs w:val="20"/>
                <w:lang w:val="fr-FR"/>
              </w:rPr>
              <w:t>La Région ne peut financer plus de 80% des dépenses éligibles. Son intervention est plafonnée à 80 000 €</w:t>
            </w:r>
          </w:p>
          <w:p w:rsidR="003E0564" w:rsidRDefault="0026379A">
            <w:pPr>
              <w:pStyle w:val="Paragraphedeliste1"/>
              <w:numPr>
                <w:ilvl w:val="0"/>
                <w:numId w:val="33"/>
              </w:numPr>
              <w:shd w:val="clear" w:color="auto" w:fill="FFFFFF"/>
              <w:rPr>
                <w:rFonts w:ascii="Arial" w:hAnsi="Arial" w:cs="Arial"/>
                <w:b/>
                <w:bCs/>
                <w:u w:val="single"/>
                <w:lang w:val="fr-FR"/>
              </w:rPr>
            </w:pPr>
            <w:r>
              <w:rPr>
                <w:rFonts w:ascii="Arial" w:hAnsi="Arial" w:cs="Arial"/>
                <w:sz w:val="20"/>
                <w:szCs w:val="20"/>
                <w:lang w:val="fr-FR"/>
              </w:rPr>
              <w:t>Les cofinancements doivent impérativement être acquis dans l’année</w:t>
            </w:r>
          </w:p>
          <w:p w:rsidR="003E0564" w:rsidRDefault="0026379A">
            <w:pPr>
              <w:pStyle w:val="Paragraphedeliste1"/>
              <w:numPr>
                <w:ilvl w:val="0"/>
                <w:numId w:val="33"/>
              </w:numPr>
              <w:shd w:val="clear" w:color="auto" w:fill="FFFFFF"/>
              <w:rPr>
                <w:rFonts w:ascii="Arial" w:hAnsi="Arial" w:cs="Arial"/>
                <w:b/>
                <w:bCs/>
                <w:u w:val="single"/>
                <w:lang w:val="fr-FR"/>
              </w:rPr>
            </w:pPr>
            <w:r>
              <w:rPr>
                <w:rFonts w:ascii="Arial" w:hAnsi="Arial" w:cs="Arial"/>
                <w:sz w:val="20"/>
                <w:szCs w:val="20"/>
                <w:lang w:val="fr-FR"/>
              </w:rPr>
              <w:t xml:space="preserve">Les montants doivent être précisés: </w:t>
            </w:r>
            <w:r>
              <w:rPr>
                <w:rFonts w:ascii="Arial" w:hAnsi="Arial" w:cs="Arial"/>
                <w:b/>
                <w:bCs/>
                <w:sz w:val="20"/>
                <w:szCs w:val="20"/>
                <w:lang w:val="fr-FR"/>
              </w:rPr>
              <w:t>HT ou TTC</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3"/>
              <w:gridCol w:w="1432"/>
              <w:gridCol w:w="701"/>
              <w:gridCol w:w="1931"/>
              <w:gridCol w:w="1349"/>
              <w:gridCol w:w="1386"/>
            </w:tblGrid>
            <w:tr w:rsidR="003E0564">
              <w:trPr>
                <w:trHeight w:val="817"/>
                <w:jc w:val="center"/>
              </w:trPr>
              <w:tc>
                <w:tcPr>
                  <w:tcW w:w="9522" w:type="dxa"/>
                  <w:gridSpan w:val="6"/>
                  <w:tcBorders>
                    <w:top w:val="single" w:sz="4" w:space="0" w:color="auto"/>
                    <w:left w:val="single" w:sz="4" w:space="0" w:color="auto"/>
                    <w:bottom w:val="single" w:sz="4" w:space="0" w:color="auto"/>
                    <w:right w:val="single" w:sz="4" w:space="0" w:color="auto"/>
                  </w:tcBorders>
                </w:tcPr>
                <w:p w:rsidR="003E0564" w:rsidRDefault="003E0564">
                  <w:pPr>
                    <w:rPr>
                      <w:rFonts w:ascii="Arial" w:hAnsi="Arial" w:cs="Arial"/>
                      <w:b/>
                      <w:bCs/>
                    </w:rPr>
                  </w:pPr>
                </w:p>
                <w:p w:rsidR="003E0564" w:rsidRDefault="0026379A">
                  <w:pPr>
                    <w:rPr>
                      <w:rFonts w:ascii="Arial" w:hAnsi="Arial" w:cs="Arial"/>
                      <w:b/>
                      <w:bCs/>
                      <w:sz w:val="20"/>
                      <w:szCs w:val="20"/>
                    </w:rPr>
                  </w:pPr>
                  <w:r>
                    <w:rPr>
                      <w:rFonts w:ascii="Arial" w:hAnsi="Arial" w:cs="Arial"/>
                      <w:b/>
                      <w:bCs/>
                    </w:rPr>
                    <w:t>PROJET </w:t>
                  </w:r>
                  <w:r>
                    <w:rPr>
                      <w:rFonts w:ascii="Arial" w:hAnsi="Arial" w:cs="Arial"/>
                      <w:sz w:val="20"/>
                      <w:szCs w:val="20"/>
                    </w:rPr>
                    <w:t>(ACRONYME)</w:t>
                  </w:r>
                  <w:r>
                    <w:rPr>
                      <w:rFonts w:ascii="Arial" w:hAnsi="Arial" w:cs="Arial"/>
                      <w:b/>
                      <w:bCs/>
                    </w:rPr>
                    <w:t xml:space="preserve"> : </w:t>
                  </w:r>
                  <w:r>
                    <w:rPr>
                      <w:rFonts w:ascii="Arial" w:hAnsi="Arial" w:cs="Arial"/>
                      <w:b/>
                      <w:bCs/>
                      <w:sz w:val="20"/>
                      <w:szCs w:val="20"/>
                    </w:rPr>
                    <w:t>CAPEZ</w:t>
                  </w:r>
                </w:p>
                <w:p w:rsidR="003E0564" w:rsidRDefault="003E0564">
                  <w:pPr>
                    <w:rPr>
                      <w:rFonts w:ascii="Arial" w:hAnsi="Arial" w:cs="Arial"/>
                      <w:b/>
                      <w:bCs/>
                      <w:sz w:val="6"/>
                      <w:szCs w:val="6"/>
                    </w:rPr>
                  </w:pPr>
                </w:p>
                <w:p w:rsidR="003E0564" w:rsidRDefault="0026379A">
                  <w:pPr>
                    <w:rPr>
                      <w:rFonts w:ascii="Arial" w:hAnsi="Arial" w:cs="Arial"/>
                      <w:i/>
                    </w:rPr>
                  </w:pPr>
                  <w:r>
                    <w:rPr>
                      <w:rFonts w:ascii="Arial" w:hAnsi="Arial" w:cs="Arial"/>
                      <w:b/>
                      <w:bCs/>
                    </w:rPr>
                    <w:t xml:space="preserve">BENEFICIAIRE </w:t>
                  </w:r>
                  <w:r>
                    <w:rPr>
                      <w:rFonts w:ascii="Arial" w:hAnsi="Arial" w:cs="Arial"/>
                      <w:sz w:val="20"/>
                      <w:szCs w:val="20"/>
                    </w:rPr>
                    <w:t>(renseigner impérativement)</w:t>
                  </w:r>
                  <w:r>
                    <w:rPr>
                      <w:rFonts w:ascii="Arial" w:hAnsi="Arial" w:cs="Arial"/>
                      <w:b/>
                      <w:bCs/>
                    </w:rPr>
                    <w:t> :</w:t>
                  </w:r>
                  <w:r>
                    <w:rPr>
                      <w:rFonts w:ascii="Arial" w:hAnsi="Arial" w:cs="Arial"/>
                      <w:b/>
                      <w:bCs/>
                      <w:i/>
                    </w:rPr>
                    <w:t>CNRS Délégation Provence et Corse pour le compte du MADIREL_UMR7246</w:t>
                  </w:r>
                </w:p>
                <w:p w:rsidR="003E0564" w:rsidRDefault="003E0564">
                  <w:pPr>
                    <w:rPr>
                      <w:rFonts w:ascii="Arial" w:hAnsi="Arial" w:cs="Arial"/>
                      <w:b/>
                      <w:bCs/>
                    </w:rPr>
                  </w:pPr>
                </w:p>
              </w:tc>
            </w:tr>
            <w:tr w:rsidR="003E0564">
              <w:trPr>
                <w:trHeight w:val="287"/>
                <w:jc w:val="center"/>
              </w:trPr>
              <w:tc>
                <w:tcPr>
                  <w:tcW w:w="4856" w:type="dxa"/>
                  <w:gridSpan w:val="3"/>
                  <w:tcBorders>
                    <w:top w:val="single" w:sz="4" w:space="0" w:color="auto"/>
                    <w:left w:val="single" w:sz="4" w:space="0" w:color="auto"/>
                    <w:bottom w:val="single" w:sz="4" w:space="0" w:color="auto"/>
                    <w:right w:val="single" w:sz="4" w:space="0" w:color="auto"/>
                  </w:tcBorders>
                  <w:vAlign w:val="center"/>
                </w:tcPr>
                <w:p w:rsidR="003E0564" w:rsidRDefault="0026379A">
                  <w:pPr>
                    <w:spacing w:before="120" w:after="120"/>
                    <w:jc w:val="center"/>
                    <w:rPr>
                      <w:rFonts w:ascii="Arial" w:hAnsi="Arial" w:cs="Arial"/>
                      <w:sz w:val="22"/>
                      <w:szCs w:val="22"/>
                    </w:rPr>
                  </w:pPr>
                  <w:r>
                    <w:rPr>
                      <w:rFonts w:ascii="Arial" w:hAnsi="Arial" w:cs="Arial"/>
                      <w:b/>
                      <w:bCs/>
                      <w:sz w:val="22"/>
                      <w:szCs w:val="22"/>
                    </w:rPr>
                    <w:t>DÉPENSES</w:t>
                  </w:r>
                </w:p>
              </w:tc>
              <w:tc>
                <w:tcPr>
                  <w:tcW w:w="4666" w:type="dxa"/>
                  <w:gridSpan w:val="3"/>
                  <w:tcBorders>
                    <w:top w:val="single" w:sz="4" w:space="0" w:color="auto"/>
                    <w:left w:val="single" w:sz="4" w:space="0" w:color="auto"/>
                    <w:bottom w:val="single" w:sz="4" w:space="0" w:color="auto"/>
                    <w:right w:val="single" w:sz="4" w:space="0" w:color="auto"/>
                  </w:tcBorders>
                  <w:vAlign w:val="center"/>
                </w:tcPr>
                <w:p w:rsidR="003E0564" w:rsidRDefault="0026379A">
                  <w:pPr>
                    <w:jc w:val="center"/>
                    <w:rPr>
                      <w:rFonts w:ascii="Arial" w:hAnsi="Arial" w:cs="Arial"/>
                      <w:sz w:val="22"/>
                      <w:szCs w:val="22"/>
                    </w:rPr>
                  </w:pPr>
                  <w:r>
                    <w:rPr>
                      <w:rFonts w:ascii="Arial" w:hAnsi="Arial" w:cs="Arial"/>
                      <w:b/>
                      <w:bCs/>
                      <w:sz w:val="22"/>
                      <w:szCs w:val="22"/>
                    </w:rPr>
                    <w:t>RECETTES</w:t>
                  </w:r>
                </w:p>
              </w:tc>
            </w:tr>
            <w:tr w:rsidR="003E0564">
              <w:trPr>
                <w:jc w:val="center"/>
              </w:trPr>
              <w:tc>
                <w:tcPr>
                  <w:tcW w:w="2723" w:type="dxa"/>
                  <w:tcBorders>
                    <w:top w:val="single" w:sz="4" w:space="0" w:color="auto"/>
                    <w:left w:val="single" w:sz="4" w:space="0" w:color="auto"/>
                    <w:bottom w:val="single" w:sz="4" w:space="0" w:color="auto"/>
                    <w:right w:val="single" w:sz="4" w:space="0" w:color="auto"/>
                  </w:tcBorders>
                  <w:vAlign w:val="center"/>
                </w:tcPr>
                <w:p w:rsidR="003E0564" w:rsidRDefault="0026379A">
                  <w:pPr>
                    <w:jc w:val="center"/>
                    <w:rPr>
                      <w:rFonts w:ascii="Arial" w:hAnsi="Arial" w:cs="Arial"/>
                      <w:sz w:val="20"/>
                      <w:szCs w:val="20"/>
                    </w:rPr>
                  </w:pPr>
                  <w:r>
                    <w:rPr>
                      <w:rFonts w:ascii="Arial" w:hAnsi="Arial" w:cs="Arial"/>
                      <w:b/>
                      <w:bCs/>
                      <w:caps/>
                      <w:sz w:val="20"/>
                      <w:szCs w:val="20"/>
                    </w:rPr>
                    <w:t>DÉtail</w:t>
                  </w:r>
                </w:p>
              </w:tc>
              <w:tc>
                <w:tcPr>
                  <w:tcW w:w="1432" w:type="dxa"/>
                  <w:tcBorders>
                    <w:top w:val="single" w:sz="4" w:space="0" w:color="auto"/>
                    <w:left w:val="single" w:sz="4" w:space="0" w:color="auto"/>
                    <w:bottom w:val="single" w:sz="4" w:space="0" w:color="auto"/>
                    <w:right w:val="single" w:sz="4" w:space="0" w:color="auto"/>
                  </w:tcBorders>
                  <w:vAlign w:val="center"/>
                </w:tcPr>
                <w:p w:rsidR="003E0564" w:rsidRDefault="0026379A">
                  <w:pPr>
                    <w:jc w:val="center"/>
                    <w:rPr>
                      <w:rFonts w:ascii="Arial" w:hAnsi="Arial" w:cs="Arial"/>
                      <w:sz w:val="20"/>
                      <w:szCs w:val="20"/>
                    </w:rPr>
                  </w:pPr>
                  <w:r>
                    <w:rPr>
                      <w:rFonts w:ascii="Arial" w:hAnsi="Arial" w:cs="Arial"/>
                      <w:b/>
                      <w:bCs/>
                      <w:caps/>
                      <w:sz w:val="20"/>
                      <w:szCs w:val="20"/>
                    </w:rPr>
                    <w:t>Montant (€)</w:t>
                  </w:r>
                </w:p>
              </w:tc>
              <w:tc>
                <w:tcPr>
                  <w:tcW w:w="701" w:type="dxa"/>
                  <w:tcBorders>
                    <w:top w:val="single" w:sz="4" w:space="0" w:color="auto"/>
                    <w:left w:val="single" w:sz="4" w:space="0" w:color="auto"/>
                    <w:bottom w:val="single" w:sz="4" w:space="0" w:color="auto"/>
                    <w:right w:val="single" w:sz="4" w:space="0" w:color="auto"/>
                  </w:tcBorders>
                  <w:vAlign w:val="center"/>
                </w:tcPr>
                <w:p w:rsidR="003E0564" w:rsidRDefault="0026379A">
                  <w:pPr>
                    <w:jc w:val="center"/>
                    <w:rPr>
                      <w:rFonts w:ascii="Arial" w:hAnsi="Arial" w:cs="Arial"/>
                      <w:b/>
                      <w:bCs/>
                      <w:sz w:val="20"/>
                      <w:szCs w:val="20"/>
                    </w:rPr>
                  </w:pPr>
                  <w:r>
                    <w:rPr>
                      <w:rFonts w:ascii="Arial" w:hAnsi="Arial" w:cs="Arial"/>
                      <w:b/>
                      <w:bCs/>
                      <w:sz w:val="20"/>
                      <w:szCs w:val="20"/>
                    </w:rPr>
                    <w:t>TTC</w:t>
                  </w:r>
                </w:p>
              </w:tc>
              <w:tc>
                <w:tcPr>
                  <w:tcW w:w="1931" w:type="dxa"/>
                  <w:tcBorders>
                    <w:top w:val="single" w:sz="4" w:space="0" w:color="auto"/>
                    <w:left w:val="single" w:sz="4" w:space="0" w:color="auto"/>
                    <w:bottom w:val="single" w:sz="4" w:space="0" w:color="auto"/>
                    <w:right w:val="single" w:sz="4" w:space="0" w:color="auto"/>
                  </w:tcBorders>
                  <w:vAlign w:val="center"/>
                </w:tcPr>
                <w:p w:rsidR="003E0564" w:rsidRDefault="0026379A">
                  <w:pPr>
                    <w:jc w:val="center"/>
                    <w:rPr>
                      <w:rFonts w:ascii="Arial" w:hAnsi="Arial" w:cs="Arial"/>
                      <w:sz w:val="20"/>
                      <w:szCs w:val="20"/>
                    </w:rPr>
                  </w:pPr>
                  <w:r>
                    <w:rPr>
                      <w:rFonts w:ascii="Arial" w:hAnsi="Arial" w:cs="Arial"/>
                      <w:b/>
                      <w:bCs/>
                      <w:caps/>
                      <w:sz w:val="20"/>
                      <w:szCs w:val="20"/>
                    </w:rPr>
                    <w:t>Origine</w:t>
                  </w:r>
                </w:p>
              </w:tc>
              <w:tc>
                <w:tcPr>
                  <w:tcW w:w="1349" w:type="dxa"/>
                  <w:tcBorders>
                    <w:top w:val="single" w:sz="4" w:space="0" w:color="auto"/>
                    <w:left w:val="single" w:sz="4" w:space="0" w:color="auto"/>
                    <w:bottom w:val="single" w:sz="4" w:space="0" w:color="auto"/>
                    <w:right w:val="single" w:sz="4" w:space="0" w:color="auto"/>
                  </w:tcBorders>
                  <w:vAlign w:val="center"/>
                </w:tcPr>
                <w:p w:rsidR="003E0564" w:rsidRDefault="0026379A">
                  <w:pPr>
                    <w:tabs>
                      <w:tab w:val="left" w:pos="1134"/>
                      <w:tab w:val="left" w:pos="6237"/>
                    </w:tabs>
                    <w:jc w:val="center"/>
                    <w:rPr>
                      <w:rFonts w:ascii="Arial" w:hAnsi="Arial" w:cs="Arial"/>
                      <w:b/>
                      <w:bCs/>
                      <w:caps/>
                      <w:sz w:val="20"/>
                      <w:szCs w:val="20"/>
                    </w:rPr>
                  </w:pPr>
                  <w:r>
                    <w:rPr>
                      <w:rFonts w:ascii="Arial" w:hAnsi="Arial" w:cs="Arial"/>
                      <w:b/>
                      <w:bCs/>
                      <w:caps/>
                      <w:sz w:val="20"/>
                      <w:szCs w:val="20"/>
                    </w:rPr>
                    <w:t>Montant (€)</w:t>
                  </w:r>
                </w:p>
              </w:tc>
              <w:tc>
                <w:tcPr>
                  <w:tcW w:w="1386" w:type="dxa"/>
                  <w:tcBorders>
                    <w:top w:val="single" w:sz="4" w:space="0" w:color="auto"/>
                    <w:left w:val="single" w:sz="4" w:space="0" w:color="auto"/>
                    <w:bottom w:val="single" w:sz="4" w:space="0" w:color="auto"/>
                    <w:right w:val="single" w:sz="4" w:space="0" w:color="auto"/>
                  </w:tcBorders>
                  <w:vAlign w:val="center"/>
                </w:tcPr>
                <w:p w:rsidR="003E0564" w:rsidRDefault="0026379A">
                  <w:pPr>
                    <w:tabs>
                      <w:tab w:val="left" w:pos="1134"/>
                      <w:tab w:val="left" w:pos="6237"/>
                    </w:tabs>
                    <w:spacing w:before="120"/>
                    <w:ind w:right="40"/>
                    <w:jc w:val="center"/>
                    <w:rPr>
                      <w:rFonts w:ascii="Arial" w:hAnsi="Arial" w:cs="Arial"/>
                      <w:b/>
                      <w:bCs/>
                      <w:sz w:val="20"/>
                      <w:szCs w:val="20"/>
                    </w:rPr>
                  </w:pPr>
                  <w:r>
                    <w:rPr>
                      <w:rFonts w:ascii="Arial" w:hAnsi="Arial" w:cs="Arial"/>
                      <w:b/>
                      <w:bCs/>
                      <w:sz w:val="20"/>
                      <w:szCs w:val="20"/>
                    </w:rPr>
                    <w:t xml:space="preserve">A </w:t>
                  </w:r>
                  <w:r>
                    <w:rPr>
                      <w:rFonts w:ascii="Arial" w:hAnsi="Arial" w:cs="Arial"/>
                      <w:b/>
                      <w:bCs/>
                      <w:sz w:val="20"/>
                      <w:szCs w:val="20"/>
                    </w:rPr>
                    <w:t>(acquis) ou</w:t>
                  </w:r>
                </w:p>
                <w:p w:rsidR="003E0564" w:rsidRDefault="0026379A">
                  <w:pPr>
                    <w:jc w:val="center"/>
                    <w:rPr>
                      <w:rFonts w:ascii="Arial" w:hAnsi="Arial" w:cs="Arial"/>
                      <w:b/>
                      <w:bCs/>
                      <w:caps/>
                      <w:sz w:val="20"/>
                      <w:szCs w:val="20"/>
                    </w:rPr>
                  </w:pPr>
                  <w:r>
                    <w:rPr>
                      <w:rFonts w:ascii="Arial" w:hAnsi="Arial" w:cs="Arial"/>
                      <w:b/>
                      <w:bCs/>
                      <w:sz w:val="20"/>
                      <w:szCs w:val="20"/>
                    </w:rPr>
                    <w:t>S (sollicité</w:t>
                  </w:r>
                  <w:r>
                    <w:rPr>
                      <w:rFonts w:ascii="Arial" w:hAnsi="Arial" w:cs="Arial"/>
                      <w:b/>
                      <w:bCs/>
                      <w:caps/>
                      <w:sz w:val="20"/>
                      <w:szCs w:val="20"/>
                    </w:rPr>
                    <w:t>)</w:t>
                  </w:r>
                </w:p>
                <w:p w:rsidR="003E0564" w:rsidRDefault="003E0564">
                  <w:pPr>
                    <w:jc w:val="center"/>
                    <w:rPr>
                      <w:rFonts w:ascii="Arial" w:hAnsi="Arial" w:cs="Arial"/>
                      <w:b/>
                      <w:bCs/>
                      <w:caps/>
                      <w:sz w:val="4"/>
                      <w:szCs w:val="4"/>
                    </w:rPr>
                  </w:pPr>
                </w:p>
                <w:p w:rsidR="003E0564" w:rsidRDefault="0026379A">
                  <w:pPr>
                    <w:spacing w:after="120"/>
                    <w:jc w:val="center"/>
                    <w:rPr>
                      <w:rFonts w:ascii="Arial" w:hAnsi="Arial" w:cs="Arial"/>
                      <w:sz w:val="20"/>
                      <w:szCs w:val="20"/>
                    </w:rPr>
                  </w:pPr>
                  <w:r>
                    <w:rPr>
                      <w:rFonts w:ascii="Arial" w:hAnsi="Arial" w:cs="Arial"/>
                      <w:b/>
                      <w:bCs/>
                      <w:caps/>
                      <w:sz w:val="20"/>
                      <w:szCs w:val="20"/>
                    </w:rPr>
                    <w:t>(*)</w:t>
                  </w:r>
                </w:p>
              </w:tc>
            </w:tr>
            <w:tr w:rsidR="003E0564">
              <w:trPr>
                <w:jc w:val="center"/>
              </w:trPr>
              <w:tc>
                <w:tcPr>
                  <w:tcW w:w="2723" w:type="dxa"/>
                  <w:tcBorders>
                    <w:top w:val="single" w:sz="4" w:space="0" w:color="auto"/>
                    <w:left w:val="single" w:sz="4" w:space="0" w:color="auto"/>
                    <w:bottom w:val="single" w:sz="4" w:space="0" w:color="auto"/>
                    <w:right w:val="single" w:sz="4" w:space="0" w:color="auto"/>
                  </w:tcBorders>
                </w:tcPr>
                <w:p w:rsidR="003E0564" w:rsidRDefault="003E0564"/>
                <w:p w:rsidR="003E0564" w:rsidRDefault="0026379A">
                  <w:pPr>
                    <w:rPr>
                      <w:b/>
                      <w:bCs/>
                    </w:rPr>
                  </w:pPr>
                  <w:r>
                    <w:rPr>
                      <w:b/>
                      <w:bCs/>
                      <w:u w:val="single"/>
                    </w:rPr>
                    <w:t>INVESTISSEMENT</w:t>
                  </w:r>
                  <w:r>
                    <w:rPr>
                      <w:b/>
                      <w:bCs/>
                    </w:rPr>
                    <w:t> :</w:t>
                  </w:r>
                </w:p>
                <w:p w:rsidR="003E0564" w:rsidRDefault="003E0564">
                  <w:pPr>
                    <w:rPr>
                      <w:b/>
                      <w:bCs/>
                    </w:rPr>
                  </w:pPr>
                </w:p>
                <w:p w:rsidR="003E0564" w:rsidRDefault="0026379A">
                  <w:pPr>
                    <w:rPr>
                      <w:bCs/>
                    </w:rPr>
                  </w:pPr>
                  <w:r>
                    <w:rPr>
                      <w:bCs/>
                    </w:rPr>
                    <w:t xml:space="preserve">Station de mesure électrochimiques </w:t>
                  </w:r>
                </w:p>
                <w:p w:rsidR="003E0564" w:rsidRDefault="0026379A">
                  <w:pPr>
                    <w:rPr>
                      <w:bCs/>
                    </w:rPr>
                  </w:pPr>
                  <w:r>
                    <w:rPr>
                      <w:bCs/>
                    </w:rPr>
                    <w:t>(potentiostat)</w:t>
                  </w:r>
                </w:p>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tc>
              <w:tc>
                <w:tcPr>
                  <w:tcW w:w="1432" w:type="dxa"/>
                  <w:tcBorders>
                    <w:top w:val="single" w:sz="4" w:space="0" w:color="auto"/>
                    <w:left w:val="single" w:sz="4" w:space="0" w:color="auto"/>
                    <w:bottom w:val="single" w:sz="4" w:space="0" w:color="auto"/>
                    <w:right w:val="single" w:sz="4" w:space="0" w:color="auto"/>
                  </w:tcBorders>
                </w:tcPr>
                <w:p w:rsidR="003E0564" w:rsidRDefault="003E0564"/>
                <w:p w:rsidR="003E0564" w:rsidRDefault="003E0564"/>
                <w:p w:rsidR="003E0564" w:rsidRDefault="003E0564"/>
                <w:p w:rsidR="003E0564" w:rsidRDefault="0026379A">
                  <w:r>
                    <w:t xml:space="preserve">18600 (HT) </w:t>
                  </w:r>
                </w:p>
                <w:p w:rsidR="003E0564" w:rsidRDefault="003E0564"/>
                <w:p w:rsidR="003E0564" w:rsidRDefault="003E0564"/>
                <w:p w:rsidR="003E0564" w:rsidRDefault="003E0564"/>
              </w:tc>
              <w:tc>
                <w:tcPr>
                  <w:tcW w:w="701" w:type="dxa"/>
                  <w:tcBorders>
                    <w:top w:val="single" w:sz="4" w:space="0" w:color="auto"/>
                    <w:left w:val="single" w:sz="4" w:space="0" w:color="auto"/>
                    <w:bottom w:val="single" w:sz="4" w:space="0" w:color="auto"/>
                    <w:right w:val="single" w:sz="4" w:space="0" w:color="auto"/>
                  </w:tcBorders>
                </w:tcPr>
                <w:p w:rsidR="003E0564" w:rsidRDefault="003E0564"/>
                <w:p w:rsidR="003E0564" w:rsidRDefault="003E0564"/>
                <w:p w:rsidR="003E0564" w:rsidRDefault="003E0564"/>
                <w:p w:rsidR="003E0564" w:rsidRDefault="003E0564"/>
              </w:tc>
              <w:tc>
                <w:tcPr>
                  <w:tcW w:w="1931" w:type="dxa"/>
                  <w:tcBorders>
                    <w:top w:val="single" w:sz="4" w:space="0" w:color="auto"/>
                    <w:left w:val="single" w:sz="4" w:space="0" w:color="auto"/>
                    <w:bottom w:val="single" w:sz="4" w:space="0" w:color="auto"/>
                    <w:right w:val="single" w:sz="4" w:space="0" w:color="auto"/>
                  </w:tcBorders>
                </w:tcPr>
                <w:p w:rsidR="003E0564" w:rsidRDefault="003E0564">
                  <w:pPr>
                    <w:pStyle w:val="Pieddepage"/>
                    <w:tabs>
                      <w:tab w:val="clear" w:pos="9072"/>
                      <w:tab w:val="left" w:pos="416"/>
                    </w:tabs>
                  </w:pPr>
                </w:p>
                <w:p w:rsidR="003E0564" w:rsidRDefault="0026379A">
                  <w:pPr>
                    <w:tabs>
                      <w:tab w:val="left" w:pos="1134"/>
                      <w:tab w:val="left" w:pos="6237"/>
                    </w:tabs>
                    <w:rPr>
                      <w:b/>
                      <w:bCs/>
                      <w:color w:val="000000" w:themeColor="text1"/>
                    </w:rPr>
                  </w:pPr>
                  <w:r>
                    <w:rPr>
                      <w:b/>
                      <w:bCs/>
                    </w:rPr>
                    <w:t xml:space="preserve">Ressources propres du laboratoire </w:t>
                  </w:r>
                  <w:r>
                    <w:rPr>
                      <w:b/>
                      <w:bCs/>
                      <w:color w:val="000000" w:themeColor="text1"/>
                    </w:rPr>
                    <w:t>gestion CNRS :</w:t>
                  </w:r>
                  <w:r>
                    <w:rPr>
                      <w:b/>
                      <w:bCs/>
                      <w:color w:val="FF0000"/>
                    </w:rPr>
                    <w:t xml:space="preserve"> </w:t>
                  </w:r>
                  <w:r>
                    <w:rPr>
                      <w:b/>
                      <w:bCs/>
                      <w:color w:val="000000" w:themeColor="text1"/>
                    </w:rPr>
                    <w:t xml:space="preserve">contrat MICROPOAS SETNAG </w:t>
                  </w:r>
                </w:p>
                <w:p w:rsidR="003E0564" w:rsidRDefault="003E0564">
                  <w:pPr>
                    <w:tabs>
                      <w:tab w:val="left" w:pos="1134"/>
                      <w:tab w:val="left" w:pos="6237"/>
                    </w:tabs>
                    <w:rPr>
                      <w:b/>
                      <w:bCs/>
                      <w:color w:val="000000" w:themeColor="text1"/>
                    </w:rPr>
                  </w:pPr>
                </w:p>
                <w:p w:rsidR="003E0564" w:rsidRDefault="003E0564">
                  <w:pPr>
                    <w:tabs>
                      <w:tab w:val="left" w:pos="1134"/>
                      <w:tab w:val="left" w:pos="6237"/>
                    </w:tabs>
                    <w:rPr>
                      <w:b/>
                      <w:bCs/>
                      <w:color w:val="000000" w:themeColor="text1"/>
                    </w:rPr>
                  </w:pPr>
                </w:p>
                <w:p w:rsidR="003E0564" w:rsidRDefault="003E0564">
                  <w:pPr>
                    <w:tabs>
                      <w:tab w:val="left" w:pos="1134"/>
                      <w:tab w:val="left" w:pos="6237"/>
                    </w:tabs>
                    <w:rPr>
                      <w:b/>
                      <w:bCs/>
                      <w:color w:val="000000" w:themeColor="text1"/>
                    </w:rPr>
                  </w:pPr>
                </w:p>
                <w:p w:rsidR="003E0564" w:rsidRDefault="0026379A">
                  <w:pPr>
                    <w:tabs>
                      <w:tab w:val="left" w:pos="1134"/>
                      <w:tab w:val="left" w:pos="6237"/>
                    </w:tabs>
                    <w:rPr>
                      <w:b/>
                      <w:bCs/>
                    </w:rPr>
                  </w:pPr>
                  <w:r>
                    <w:rPr>
                      <w:b/>
                      <w:bCs/>
                    </w:rPr>
                    <w:t>Autres (préciser)</w:t>
                  </w:r>
                </w:p>
                <w:p w:rsidR="003E0564" w:rsidRDefault="003E0564">
                  <w:pPr>
                    <w:tabs>
                      <w:tab w:val="left" w:pos="1134"/>
                      <w:tab w:val="left" w:pos="6237"/>
                    </w:tabs>
                    <w:rPr>
                      <w:b/>
                      <w:bCs/>
                    </w:rPr>
                  </w:pPr>
                </w:p>
                <w:p w:rsidR="003E0564" w:rsidRDefault="003E0564">
                  <w:pPr>
                    <w:tabs>
                      <w:tab w:val="left" w:pos="1134"/>
                      <w:tab w:val="left" w:pos="6237"/>
                    </w:tabs>
                    <w:rPr>
                      <w:b/>
                      <w:bCs/>
                    </w:rPr>
                  </w:pPr>
                </w:p>
                <w:p w:rsidR="003E0564" w:rsidRDefault="003E0564">
                  <w:pPr>
                    <w:tabs>
                      <w:tab w:val="left" w:pos="1134"/>
                      <w:tab w:val="left" w:pos="6237"/>
                    </w:tabs>
                    <w:rPr>
                      <w:b/>
                      <w:bCs/>
                    </w:rPr>
                  </w:pPr>
                </w:p>
                <w:p w:rsidR="003E0564" w:rsidRDefault="003E0564">
                  <w:pPr>
                    <w:tabs>
                      <w:tab w:val="left" w:pos="1134"/>
                      <w:tab w:val="left" w:pos="6237"/>
                    </w:tabs>
                    <w:rPr>
                      <w:b/>
                      <w:bCs/>
                    </w:rPr>
                  </w:pPr>
                </w:p>
                <w:p w:rsidR="003E0564" w:rsidRDefault="0026379A">
                  <w:pPr>
                    <w:tabs>
                      <w:tab w:val="left" w:pos="1134"/>
                      <w:tab w:val="left" w:pos="6237"/>
                    </w:tabs>
                    <w:rPr>
                      <w:b/>
                      <w:bCs/>
                    </w:rPr>
                  </w:pPr>
                  <w:r>
                    <w:rPr>
                      <w:b/>
                      <w:bCs/>
                    </w:rPr>
                    <w:t>Région PACA</w:t>
                  </w:r>
                </w:p>
                <w:p w:rsidR="003E0564" w:rsidRDefault="0026379A">
                  <w:pPr>
                    <w:tabs>
                      <w:tab w:val="left" w:pos="1134"/>
                      <w:tab w:val="left" w:pos="6237"/>
                    </w:tabs>
                  </w:pPr>
                  <w:r>
                    <w:t>(Objet de la présente demande)</w:t>
                  </w:r>
                </w:p>
                <w:p w:rsidR="003E0564" w:rsidRDefault="003E0564">
                  <w:pPr>
                    <w:tabs>
                      <w:tab w:val="left" w:pos="1134"/>
                      <w:tab w:val="left" w:pos="6237"/>
                    </w:tabs>
                    <w:rPr>
                      <w:b/>
                      <w:bCs/>
                    </w:rPr>
                  </w:pPr>
                </w:p>
              </w:tc>
              <w:tc>
                <w:tcPr>
                  <w:tcW w:w="1349" w:type="dxa"/>
                  <w:tcBorders>
                    <w:top w:val="single" w:sz="4" w:space="0" w:color="auto"/>
                    <w:left w:val="single" w:sz="4" w:space="0" w:color="auto"/>
                    <w:bottom w:val="single" w:sz="4" w:space="0" w:color="auto"/>
                    <w:right w:val="single" w:sz="4" w:space="0" w:color="auto"/>
                  </w:tcBorders>
                </w:tcPr>
                <w:p w:rsidR="003E0564" w:rsidRDefault="003E0564"/>
                <w:p w:rsidR="003E0564" w:rsidRDefault="003E0564"/>
                <w:p w:rsidR="003E0564" w:rsidRDefault="0026379A">
                  <w:r>
                    <w:t>3800 (HT)</w:t>
                  </w:r>
                </w:p>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3E0564"/>
                <w:p w:rsidR="003E0564" w:rsidRDefault="0026379A">
                  <w:r>
                    <w:t>14800 (HT)</w:t>
                  </w:r>
                </w:p>
                <w:p w:rsidR="003E0564" w:rsidRDefault="003E0564"/>
                <w:p w:rsidR="003E0564" w:rsidRDefault="003E0564"/>
                <w:p w:rsidR="003E0564" w:rsidRDefault="003E0564"/>
              </w:tc>
              <w:tc>
                <w:tcPr>
                  <w:tcW w:w="1386" w:type="dxa"/>
                  <w:tcBorders>
                    <w:top w:val="single" w:sz="4" w:space="0" w:color="auto"/>
                    <w:left w:val="single" w:sz="4" w:space="0" w:color="auto"/>
                    <w:bottom w:val="single" w:sz="4" w:space="0" w:color="auto"/>
                    <w:right w:val="single" w:sz="4" w:space="0" w:color="auto"/>
                  </w:tcBorders>
                </w:tcPr>
                <w:p w:rsidR="003E0564" w:rsidRDefault="003E0564"/>
              </w:tc>
            </w:tr>
            <w:tr w:rsidR="003E0564">
              <w:trPr>
                <w:trHeight w:val="417"/>
                <w:jc w:val="center"/>
              </w:trPr>
              <w:tc>
                <w:tcPr>
                  <w:tcW w:w="2723" w:type="dxa"/>
                  <w:tcBorders>
                    <w:top w:val="single" w:sz="4" w:space="0" w:color="auto"/>
                    <w:left w:val="single" w:sz="4" w:space="0" w:color="auto"/>
                    <w:bottom w:val="single" w:sz="4" w:space="0" w:color="auto"/>
                    <w:right w:val="single" w:sz="4" w:space="0" w:color="auto"/>
                  </w:tcBorders>
                  <w:vAlign w:val="center"/>
                </w:tcPr>
                <w:p w:rsidR="003E0564" w:rsidRDefault="0026379A">
                  <w:pPr>
                    <w:spacing w:before="120"/>
                    <w:jc w:val="center"/>
                    <w:rPr>
                      <w:rFonts w:ascii="Arial" w:hAnsi="Arial" w:cs="Arial"/>
                      <w:b/>
                      <w:bCs/>
                      <w:sz w:val="22"/>
                      <w:szCs w:val="22"/>
                    </w:rPr>
                  </w:pPr>
                  <w:r>
                    <w:rPr>
                      <w:rFonts w:ascii="Arial" w:hAnsi="Arial" w:cs="Arial"/>
                      <w:b/>
                      <w:bCs/>
                      <w:sz w:val="22"/>
                      <w:szCs w:val="22"/>
                    </w:rPr>
                    <w:t>TOTAL</w:t>
                  </w:r>
                </w:p>
                <w:p w:rsidR="003E0564" w:rsidRDefault="0026379A">
                  <w:pPr>
                    <w:spacing w:after="120"/>
                    <w:jc w:val="center"/>
                    <w:rPr>
                      <w:rFonts w:ascii="Arial" w:hAnsi="Arial" w:cs="Arial"/>
                    </w:rPr>
                  </w:pPr>
                  <w:r>
                    <w:rPr>
                      <w:rFonts w:ascii="Arial" w:hAnsi="Arial" w:cs="Arial"/>
                      <w:b/>
                      <w:bCs/>
                      <w:sz w:val="22"/>
                      <w:szCs w:val="22"/>
                    </w:rPr>
                    <w:t>DEPENSES (**)</w:t>
                  </w:r>
                </w:p>
              </w:tc>
              <w:tc>
                <w:tcPr>
                  <w:tcW w:w="1432" w:type="dxa"/>
                  <w:tcBorders>
                    <w:top w:val="single" w:sz="4" w:space="0" w:color="auto"/>
                    <w:left w:val="single" w:sz="4" w:space="0" w:color="auto"/>
                    <w:bottom w:val="single" w:sz="4" w:space="0" w:color="auto"/>
                    <w:right w:val="single" w:sz="4" w:space="0" w:color="auto"/>
                  </w:tcBorders>
                  <w:vAlign w:val="center"/>
                </w:tcPr>
                <w:p w:rsidR="003E0564" w:rsidRDefault="003E0564">
                  <w:pPr>
                    <w:rPr>
                      <w:rFonts w:ascii="Arial" w:hAnsi="Arial" w:cs="Arial"/>
                    </w:rPr>
                  </w:pPr>
                </w:p>
              </w:tc>
              <w:tc>
                <w:tcPr>
                  <w:tcW w:w="701" w:type="dxa"/>
                  <w:tcBorders>
                    <w:top w:val="single" w:sz="4" w:space="0" w:color="auto"/>
                    <w:left w:val="single" w:sz="4" w:space="0" w:color="auto"/>
                    <w:bottom w:val="single" w:sz="4" w:space="0" w:color="auto"/>
                    <w:right w:val="single" w:sz="4" w:space="0" w:color="auto"/>
                  </w:tcBorders>
                  <w:vAlign w:val="center"/>
                </w:tcPr>
                <w:p w:rsidR="003E0564" w:rsidRDefault="003E0564">
                  <w:pPr>
                    <w:rPr>
                      <w:rFonts w:ascii="Arial" w:hAnsi="Arial" w:cs="Arial"/>
                    </w:rPr>
                  </w:pPr>
                </w:p>
              </w:tc>
              <w:tc>
                <w:tcPr>
                  <w:tcW w:w="1931" w:type="dxa"/>
                  <w:tcBorders>
                    <w:top w:val="single" w:sz="4" w:space="0" w:color="auto"/>
                    <w:left w:val="single" w:sz="4" w:space="0" w:color="auto"/>
                    <w:bottom w:val="single" w:sz="4" w:space="0" w:color="auto"/>
                    <w:right w:val="single" w:sz="4" w:space="0" w:color="auto"/>
                  </w:tcBorders>
                  <w:vAlign w:val="center"/>
                </w:tcPr>
                <w:p w:rsidR="003E0564" w:rsidRDefault="0026379A">
                  <w:pPr>
                    <w:spacing w:before="120"/>
                    <w:jc w:val="center"/>
                    <w:rPr>
                      <w:rFonts w:ascii="Arial" w:hAnsi="Arial" w:cs="Arial"/>
                      <w:b/>
                      <w:bCs/>
                      <w:sz w:val="22"/>
                      <w:szCs w:val="22"/>
                    </w:rPr>
                  </w:pPr>
                  <w:r>
                    <w:rPr>
                      <w:rFonts w:ascii="Arial" w:hAnsi="Arial" w:cs="Arial"/>
                      <w:b/>
                      <w:bCs/>
                      <w:sz w:val="22"/>
                      <w:szCs w:val="22"/>
                    </w:rPr>
                    <w:t>TOTAL</w:t>
                  </w:r>
                </w:p>
                <w:p w:rsidR="003E0564" w:rsidRDefault="0026379A">
                  <w:pPr>
                    <w:spacing w:after="120"/>
                    <w:jc w:val="center"/>
                    <w:rPr>
                      <w:rFonts w:ascii="Arial" w:hAnsi="Arial" w:cs="Arial"/>
                    </w:rPr>
                  </w:pPr>
                  <w:r>
                    <w:rPr>
                      <w:rFonts w:ascii="Arial" w:hAnsi="Arial" w:cs="Arial"/>
                      <w:b/>
                      <w:bCs/>
                      <w:sz w:val="22"/>
                      <w:szCs w:val="22"/>
                    </w:rPr>
                    <w:t>RECETTES (**)</w:t>
                  </w:r>
                </w:p>
              </w:tc>
              <w:tc>
                <w:tcPr>
                  <w:tcW w:w="1349" w:type="dxa"/>
                  <w:tcBorders>
                    <w:top w:val="single" w:sz="4" w:space="0" w:color="auto"/>
                    <w:left w:val="single" w:sz="4" w:space="0" w:color="auto"/>
                    <w:bottom w:val="single" w:sz="4" w:space="0" w:color="auto"/>
                    <w:right w:val="single" w:sz="4" w:space="0" w:color="auto"/>
                  </w:tcBorders>
                  <w:vAlign w:val="center"/>
                </w:tcPr>
                <w:p w:rsidR="003E0564" w:rsidRDefault="0026379A">
                  <w:pPr>
                    <w:rPr>
                      <w:rFonts w:ascii="Arial" w:hAnsi="Arial" w:cs="Arial"/>
                    </w:rPr>
                  </w:pPr>
                  <w:r>
                    <w:rPr>
                      <w:rFonts w:ascii="Arial" w:hAnsi="Arial" w:cs="Arial"/>
                    </w:rPr>
                    <w:t>18600 HT</w:t>
                  </w:r>
                </w:p>
              </w:tc>
              <w:tc>
                <w:tcPr>
                  <w:tcW w:w="1386" w:type="dxa"/>
                  <w:tcBorders>
                    <w:top w:val="single" w:sz="4" w:space="0" w:color="auto"/>
                    <w:left w:val="single" w:sz="4" w:space="0" w:color="auto"/>
                    <w:bottom w:val="single" w:sz="4" w:space="0" w:color="auto"/>
                    <w:right w:val="single" w:sz="4" w:space="0" w:color="auto"/>
                  </w:tcBorders>
                  <w:vAlign w:val="center"/>
                </w:tcPr>
                <w:p w:rsidR="003E0564" w:rsidRDefault="003E0564">
                  <w:pPr>
                    <w:rPr>
                      <w:rFonts w:ascii="Arial" w:hAnsi="Arial" w:cs="Arial"/>
                    </w:rPr>
                  </w:pPr>
                </w:p>
              </w:tc>
            </w:tr>
            <w:tr w:rsidR="003E0564">
              <w:trPr>
                <w:trHeight w:val="417"/>
                <w:jc w:val="center"/>
              </w:trPr>
              <w:tc>
                <w:tcPr>
                  <w:tcW w:w="9522" w:type="dxa"/>
                  <w:gridSpan w:val="6"/>
                  <w:tcBorders>
                    <w:top w:val="single" w:sz="4" w:space="0" w:color="auto"/>
                    <w:left w:val="single" w:sz="4" w:space="0" w:color="auto"/>
                    <w:bottom w:val="single" w:sz="4" w:space="0" w:color="auto"/>
                    <w:right w:val="single" w:sz="4" w:space="0" w:color="auto"/>
                  </w:tcBorders>
                  <w:vAlign w:val="center"/>
                </w:tcPr>
                <w:p w:rsidR="003E0564" w:rsidRDefault="003E0564">
                  <w:pPr>
                    <w:rPr>
                      <w:rFonts w:ascii="Arial" w:hAnsi="Arial" w:cs="Arial"/>
                      <w:sz w:val="6"/>
                      <w:szCs w:val="6"/>
                    </w:rPr>
                  </w:pPr>
                </w:p>
                <w:p w:rsidR="003E0564" w:rsidRDefault="0026379A">
                  <w:pPr>
                    <w:rPr>
                      <w:rFonts w:ascii="Arial" w:hAnsi="Arial" w:cs="Arial"/>
                      <w:sz w:val="20"/>
                      <w:szCs w:val="20"/>
                    </w:rPr>
                  </w:pPr>
                  <w:r>
                    <w:rPr>
                      <w:rFonts w:ascii="Arial" w:hAnsi="Arial" w:cs="Arial"/>
                      <w:sz w:val="20"/>
                      <w:szCs w:val="20"/>
                    </w:rPr>
                    <w:t>(*) Indiquer la date prévue de la réponse aux financements sollicités</w:t>
                  </w:r>
                </w:p>
                <w:p w:rsidR="003E0564" w:rsidRDefault="0026379A">
                  <w:pPr>
                    <w:rPr>
                      <w:rFonts w:ascii="Arial" w:hAnsi="Arial" w:cs="Arial"/>
                      <w:sz w:val="20"/>
                      <w:szCs w:val="20"/>
                    </w:rPr>
                  </w:pPr>
                  <w:r>
                    <w:rPr>
                      <w:rFonts w:ascii="Arial" w:hAnsi="Arial" w:cs="Arial"/>
                      <w:sz w:val="20"/>
                      <w:szCs w:val="20"/>
                    </w:rPr>
                    <w:t xml:space="preserve">(**) Le total des recettes doit être égal au total des </w:t>
                  </w:r>
                  <w:r>
                    <w:rPr>
                      <w:rFonts w:ascii="Arial" w:hAnsi="Arial" w:cs="Arial"/>
                      <w:sz w:val="20"/>
                      <w:szCs w:val="20"/>
                    </w:rPr>
                    <w:t>dépenses</w:t>
                  </w:r>
                </w:p>
                <w:p w:rsidR="003E0564" w:rsidRDefault="003E0564">
                  <w:pPr>
                    <w:rPr>
                      <w:rFonts w:ascii="Arial" w:hAnsi="Arial" w:cs="Arial"/>
                      <w:sz w:val="20"/>
                      <w:szCs w:val="20"/>
                    </w:rPr>
                  </w:pPr>
                </w:p>
              </w:tc>
            </w:tr>
          </w:tbl>
          <w:p w:rsidR="003E0564" w:rsidRDefault="003E0564">
            <w:pPr>
              <w:rPr>
                <w:rFonts w:ascii="Arial" w:hAnsi="Arial" w:cs="Arial"/>
                <w:b/>
                <w:bCs/>
                <w:u w:val="single"/>
              </w:rPr>
            </w:pPr>
          </w:p>
        </w:tc>
      </w:tr>
    </w:tbl>
    <w:p w:rsidR="003E0564" w:rsidRDefault="003E0564">
      <w:pPr>
        <w:tabs>
          <w:tab w:val="left" w:pos="851"/>
        </w:tabs>
        <w:rPr>
          <w:rFonts w:ascii="Arial" w:hAnsi="Arial" w:cs="Arial"/>
          <w:b/>
          <w:bCs/>
          <w:sz w:val="20"/>
          <w:szCs w:val="20"/>
          <w:u w:val="single"/>
        </w:rPr>
      </w:pPr>
    </w:p>
    <w:p w:rsidR="003E0564" w:rsidRDefault="003E0564">
      <w:pPr>
        <w:spacing w:before="120" w:line="276" w:lineRule="auto"/>
        <w:ind w:left="1416" w:firstLine="708"/>
        <w:jc w:val="both"/>
        <w:rPr>
          <w:rFonts w:ascii="Arial" w:hAnsi="Arial" w:cs="Arial"/>
          <w:b/>
          <w:bCs/>
          <w:u w:val="single"/>
        </w:rPr>
      </w:pPr>
    </w:p>
    <w:p w:rsidR="003E0564" w:rsidRDefault="003E0564">
      <w:pPr>
        <w:spacing w:before="120" w:line="276" w:lineRule="auto"/>
        <w:ind w:left="1416" w:firstLine="708"/>
        <w:jc w:val="both"/>
        <w:rPr>
          <w:rFonts w:ascii="Arial" w:hAnsi="Arial" w:cs="Arial"/>
          <w:b/>
          <w:bCs/>
          <w:u w:val="single"/>
        </w:rPr>
      </w:pPr>
    </w:p>
    <w:p w:rsidR="003E0564" w:rsidRDefault="0026379A">
      <w:pPr>
        <w:spacing w:before="120" w:line="276" w:lineRule="auto"/>
        <w:ind w:left="1416" w:firstLine="708"/>
        <w:jc w:val="both"/>
        <w:rPr>
          <w:rFonts w:ascii="Arial" w:hAnsi="Arial" w:cs="Arial"/>
          <w:b/>
          <w:bCs/>
          <w:u w:val="single"/>
        </w:rPr>
      </w:pPr>
      <w:r>
        <w:rPr>
          <w:rFonts w:ascii="Arial" w:hAnsi="Arial" w:cs="Arial"/>
          <w:b/>
          <w:bCs/>
          <w:u w:val="single"/>
        </w:rPr>
        <w:t>PLAN DE FINANCEMENT - FONCTIONNEMENT</w:t>
      </w:r>
    </w:p>
    <w:p w:rsidR="003E0564" w:rsidRDefault="003E0564">
      <w:pPr>
        <w:tabs>
          <w:tab w:val="left" w:pos="851"/>
        </w:tabs>
        <w:rPr>
          <w:rFonts w:ascii="Arial" w:hAnsi="Arial" w:cs="Arial"/>
          <w:b/>
          <w:bCs/>
          <w:u w:val="single"/>
        </w:rPr>
      </w:pPr>
    </w:p>
    <w:p w:rsidR="003E0564" w:rsidRDefault="0026379A">
      <w:pPr>
        <w:pStyle w:val="Paragraphedeliste1"/>
        <w:numPr>
          <w:ilvl w:val="0"/>
          <w:numId w:val="33"/>
        </w:numPr>
        <w:rPr>
          <w:rFonts w:ascii="Arial" w:hAnsi="Arial" w:cs="Arial"/>
          <w:b/>
          <w:bCs/>
          <w:u w:val="single"/>
          <w:lang w:val="fr-FR"/>
        </w:rPr>
      </w:pPr>
      <w:r>
        <w:rPr>
          <w:rFonts w:ascii="Arial" w:hAnsi="Arial" w:cs="Arial"/>
          <w:sz w:val="20"/>
          <w:szCs w:val="20"/>
          <w:lang w:val="fr-FR"/>
        </w:rPr>
        <w:t>Ne concerne que les dépenses engagées et justifiées par le bénéficiaire de la subvention hors salaires des personnels statutaires</w:t>
      </w:r>
    </w:p>
    <w:p w:rsidR="003E0564" w:rsidRDefault="003E0564">
      <w:pPr>
        <w:rPr>
          <w:rFonts w:ascii="Arial" w:hAnsi="Arial" w:cs="Arial"/>
          <w:b/>
          <w:bCs/>
          <w:u w:val="single"/>
        </w:rPr>
      </w:pPr>
    </w:p>
    <w:p w:rsidR="003E0564" w:rsidRDefault="0026379A">
      <w:pPr>
        <w:pStyle w:val="Paragraphedeliste1"/>
        <w:numPr>
          <w:ilvl w:val="0"/>
          <w:numId w:val="33"/>
        </w:numPr>
        <w:rPr>
          <w:rFonts w:ascii="Arial" w:hAnsi="Arial" w:cs="Arial"/>
          <w:b/>
          <w:bCs/>
          <w:u w:val="single"/>
          <w:lang w:val="fr-FR"/>
        </w:rPr>
      </w:pPr>
      <w:r>
        <w:rPr>
          <w:rFonts w:ascii="Arial" w:hAnsi="Arial" w:cs="Arial"/>
          <w:sz w:val="20"/>
          <w:szCs w:val="20"/>
          <w:lang w:val="fr-FR"/>
        </w:rPr>
        <w:t>La Région ne peut financer plus de 80% des dépenses éligibles</w:t>
      </w:r>
    </w:p>
    <w:p w:rsidR="003E0564" w:rsidRDefault="0026379A">
      <w:pPr>
        <w:pStyle w:val="Paragraphedeliste1"/>
        <w:numPr>
          <w:ilvl w:val="0"/>
          <w:numId w:val="33"/>
        </w:numPr>
        <w:rPr>
          <w:rFonts w:ascii="Arial" w:hAnsi="Arial" w:cs="Arial"/>
          <w:b/>
          <w:bCs/>
          <w:u w:val="single"/>
          <w:lang w:val="fr-FR"/>
        </w:rPr>
      </w:pPr>
      <w:r>
        <w:rPr>
          <w:rFonts w:ascii="Arial" w:hAnsi="Arial" w:cs="Arial"/>
          <w:sz w:val="20"/>
          <w:szCs w:val="20"/>
          <w:lang w:val="fr-FR"/>
        </w:rPr>
        <w:t xml:space="preserve">Les </w:t>
      </w:r>
      <w:r>
        <w:rPr>
          <w:rFonts w:ascii="Arial" w:hAnsi="Arial" w:cs="Arial"/>
          <w:sz w:val="20"/>
          <w:szCs w:val="20"/>
          <w:lang w:val="fr-FR"/>
        </w:rPr>
        <w:t>cofinancements doivent impérativement être acquis dans l’année</w:t>
      </w:r>
    </w:p>
    <w:p w:rsidR="003E0564" w:rsidRDefault="0026379A">
      <w:pPr>
        <w:pStyle w:val="Paragraphedeliste1"/>
        <w:numPr>
          <w:ilvl w:val="0"/>
          <w:numId w:val="33"/>
        </w:numPr>
        <w:rPr>
          <w:rFonts w:ascii="Arial" w:hAnsi="Arial" w:cs="Arial"/>
          <w:b/>
          <w:bCs/>
          <w:u w:val="single"/>
          <w:lang w:val="fr-FR"/>
        </w:rPr>
      </w:pPr>
      <w:r>
        <w:rPr>
          <w:rFonts w:ascii="Arial" w:hAnsi="Arial" w:cs="Arial"/>
          <w:sz w:val="20"/>
          <w:szCs w:val="20"/>
          <w:lang w:val="fr-FR"/>
        </w:rPr>
        <w:t xml:space="preserve">Les montants doivent être précisés: </w:t>
      </w:r>
      <w:r>
        <w:rPr>
          <w:rFonts w:ascii="Arial" w:hAnsi="Arial" w:cs="Arial"/>
          <w:b/>
          <w:bCs/>
          <w:sz w:val="20"/>
          <w:szCs w:val="20"/>
          <w:lang w:val="fr-FR"/>
        </w:rPr>
        <w:t>HT ou TTC</w:t>
      </w:r>
    </w:p>
    <w:p w:rsidR="003E0564" w:rsidRDefault="003E0564">
      <w:pPr>
        <w:tabs>
          <w:tab w:val="left" w:pos="851"/>
        </w:tabs>
        <w:rPr>
          <w:rFonts w:ascii="Arial" w:hAnsi="Arial" w:cs="Arial"/>
          <w:b/>
          <w:bCs/>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5"/>
        <w:gridCol w:w="984"/>
        <w:gridCol w:w="818"/>
        <w:gridCol w:w="73"/>
        <w:gridCol w:w="833"/>
        <w:gridCol w:w="1979"/>
        <w:gridCol w:w="1376"/>
        <w:gridCol w:w="1349"/>
      </w:tblGrid>
      <w:tr w:rsidR="003E0564">
        <w:trPr>
          <w:jc w:val="center"/>
        </w:trPr>
        <w:tc>
          <w:tcPr>
            <w:tcW w:w="9807" w:type="dxa"/>
            <w:gridSpan w:val="8"/>
            <w:tcBorders>
              <w:top w:val="nil"/>
              <w:left w:val="nil"/>
              <w:bottom w:val="nil"/>
              <w:right w:val="nil"/>
            </w:tcBorders>
          </w:tcPr>
          <w:p w:rsidR="003E0564" w:rsidRDefault="0026379A">
            <w:pPr>
              <w:rPr>
                <w:rFonts w:ascii="Arial" w:hAnsi="Arial" w:cs="Arial"/>
              </w:rPr>
            </w:pPr>
            <w:r>
              <w:rPr>
                <w:rFonts w:ascii="Arial" w:hAnsi="Arial" w:cs="Arial"/>
                <w:b/>
                <w:bCs/>
              </w:rPr>
              <w:t>PROJET </w:t>
            </w:r>
            <w:r>
              <w:rPr>
                <w:rFonts w:ascii="Arial" w:hAnsi="Arial" w:cs="Arial"/>
                <w:sz w:val="20"/>
                <w:szCs w:val="20"/>
              </w:rPr>
              <w:t>(ACRONYME)</w:t>
            </w:r>
            <w:r>
              <w:rPr>
                <w:rFonts w:ascii="Arial" w:hAnsi="Arial" w:cs="Arial"/>
                <w:b/>
                <w:bCs/>
              </w:rPr>
              <w:t xml:space="preserve"> : </w:t>
            </w:r>
          </w:p>
          <w:p w:rsidR="003E0564" w:rsidRDefault="003E0564">
            <w:pPr>
              <w:rPr>
                <w:rFonts w:ascii="Arial" w:hAnsi="Arial" w:cs="Arial"/>
                <w:b/>
                <w:bCs/>
                <w:sz w:val="6"/>
                <w:szCs w:val="6"/>
                <w:u w:val="single"/>
              </w:rPr>
            </w:pPr>
          </w:p>
          <w:p w:rsidR="003E0564" w:rsidRDefault="0026379A">
            <w:pPr>
              <w:rPr>
                <w:rFonts w:ascii="Arial" w:hAnsi="Arial" w:cs="Arial"/>
              </w:rPr>
            </w:pPr>
            <w:r>
              <w:rPr>
                <w:rFonts w:ascii="Arial" w:hAnsi="Arial" w:cs="Arial"/>
                <w:b/>
                <w:bCs/>
              </w:rPr>
              <w:t xml:space="preserve">BENEFICIAIRE </w:t>
            </w:r>
            <w:r>
              <w:rPr>
                <w:rFonts w:ascii="Arial" w:hAnsi="Arial" w:cs="Arial"/>
                <w:sz w:val="20"/>
                <w:szCs w:val="20"/>
              </w:rPr>
              <w:t>(renseigner impérativement)</w:t>
            </w:r>
            <w:r>
              <w:rPr>
                <w:rFonts w:ascii="Arial" w:hAnsi="Arial" w:cs="Arial"/>
                <w:b/>
                <w:bCs/>
              </w:rPr>
              <w:t xml:space="preserve"> : </w:t>
            </w:r>
          </w:p>
          <w:p w:rsidR="003E0564" w:rsidRDefault="003E0564">
            <w:pPr>
              <w:ind w:left="-46" w:firstLine="46"/>
              <w:rPr>
                <w:rFonts w:ascii="Arial" w:hAnsi="Arial" w:cs="Arial"/>
                <w:b/>
                <w:bCs/>
                <w:sz w:val="16"/>
                <w:szCs w:val="16"/>
              </w:rPr>
            </w:pPr>
          </w:p>
        </w:tc>
      </w:tr>
      <w:tr w:rsidR="003E0564">
        <w:trPr>
          <w:trHeight w:val="478"/>
          <w:jc w:val="center"/>
        </w:trPr>
        <w:tc>
          <w:tcPr>
            <w:tcW w:w="5103" w:type="dxa"/>
            <w:gridSpan w:val="5"/>
            <w:vAlign w:val="center"/>
          </w:tcPr>
          <w:p w:rsidR="003E0564" w:rsidRDefault="0026379A">
            <w:pPr>
              <w:spacing w:before="120" w:after="120"/>
              <w:jc w:val="center"/>
              <w:rPr>
                <w:rFonts w:ascii="Arial" w:hAnsi="Arial" w:cs="Arial"/>
                <w:b/>
                <w:bCs/>
                <w:sz w:val="22"/>
                <w:szCs w:val="22"/>
              </w:rPr>
            </w:pPr>
            <w:r>
              <w:rPr>
                <w:rFonts w:ascii="Arial" w:hAnsi="Arial" w:cs="Arial"/>
                <w:b/>
                <w:bCs/>
                <w:sz w:val="22"/>
                <w:szCs w:val="22"/>
              </w:rPr>
              <w:t>DÉPENSES</w:t>
            </w:r>
          </w:p>
        </w:tc>
        <w:tc>
          <w:tcPr>
            <w:tcW w:w="4704" w:type="dxa"/>
            <w:gridSpan w:val="3"/>
            <w:vAlign w:val="center"/>
          </w:tcPr>
          <w:p w:rsidR="003E0564" w:rsidRDefault="0026379A">
            <w:pPr>
              <w:spacing w:before="120" w:after="120"/>
              <w:jc w:val="center"/>
              <w:rPr>
                <w:rFonts w:ascii="Arial" w:hAnsi="Arial" w:cs="Arial"/>
                <w:b/>
                <w:bCs/>
                <w:sz w:val="22"/>
                <w:szCs w:val="22"/>
              </w:rPr>
            </w:pPr>
            <w:r>
              <w:rPr>
                <w:rFonts w:ascii="Arial" w:hAnsi="Arial" w:cs="Arial"/>
                <w:b/>
                <w:bCs/>
                <w:sz w:val="22"/>
                <w:szCs w:val="22"/>
              </w:rPr>
              <w:t>RECETTES</w:t>
            </w:r>
          </w:p>
        </w:tc>
      </w:tr>
      <w:tr w:rsidR="003E0564">
        <w:trPr>
          <w:jc w:val="center"/>
        </w:trPr>
        <w:tc>
          <w:tcPr>
            <w:tcW w:w="2395" w:type="dxa"/>
            <w:vAlign w:val="center"/>
          </w:tcPr>
          <w:p w:rsidR="003E0564" w:rsidRDefault="0026379A">
            <w:pPr>
              <w:jc w:val="center"/>
              <w:rPr>
                <w:rFonts w:ascii="Arial" w:hAnsi="Arial" w:cs="Arial"/>
                <w:sz w:val="20"/>
                <w:szCs w:val="20"/>
              </w:rPr>
            </w:pPr>
            <w:r>
              <w:rPr>
                <w:rFonts w:ascii="Arial" w:hAnsi="Arial" w:cs="Arial"/>
                <w:b/>
                <w:bCs/>
                <w:caps/>
                <w:sz w:val="20"/>
                <w:szCs w:val="20"/>
              </w:rPr>
              <w:t>DÉtaiL</w:t>
            </w:r>
          </w:p>
        </w:tc>
        <w:tc>
          <w:tcPr>
            <w:tcW w:w="2708" w:type="dxa"/>
            <w:gridSpan w:val="4"/>
            <w:vAlign w:val="center"/>
          </w:tcPr>
          <w:p w:rsidR="003E0564" w:rsidRDefault="0026379A">
            <w:pPr>
              <w:jc w:val="center"/>
              <w:rPr>
                <w:rFonts w:ascii="Arial" w:hAnsi="Arial" w:cs="Arial"/>
                <w:sz w:val="20"/>
                <w:szCs w:val="20"/>
              </w:rPr>
            </w:pPr>
            <w:r>
              <w:rPr>
                <w:rFonts w:ascii="Arial" w:hAnsi="Arial" w:cs="Arial"/>
                <w:b/>
                <w:bCs/>
                <w:caps/>
                <w:sz w:val="20"/>
                <w:szCs w:val="20"/>
              </w:rPr>
              <w:t>MONtant (€) TTC</w:t>
            </w:r>
          </w:p>
        </w:tc>
        <w:tc>
          <w:tcPr>
            <w:tcW w:w="1979" w:type="dxa"/>
            <w:vAlign w:val="center"/>
          </w:tcPr>
          <w:p w:rsidR="003E0564" w:rsidRDefault="0026379A">
            <w:pPr>
              <w:jc w:val="center"/>
              <w:rPr>
                <w:rFonts w:ascii="Arial" w:hAnsi="Arial" w:cs="Arial"/>
                <w:sz w:val="20"/>
                <w:szCs w:val="20"/>
              </w:rPr>
            </w:pPr>
            <w:r>
              <w:rPr>
                <w:rFonts w:ascii="Arial" w:hAnsi="Arial" w:cs="Arial"/>
                <w:b/>
                <w:bCs/>
                <w:caps/>
                <w:sz w:val="20"/>
                <w:szCs w:val="20"/>
              </w:rPr>
              <w:t>Origine</w:t>
            </w:r>
          </w:p>
        </w:tc>
        <w:tc>
          <w:tcPr>
            <w:tcW w:w="1376" w:type="dxa"/>
            <w:vAlign w:val="center"/>
          </w:tcPr>
          <w:p w:rsidR="003E0564" w:rsidRDefault="0026379A">
            <w:pPr>
              <w:tabs>
                <w:tab w:val="left" w:pos="1134"/>
                <w:tab w:val="left" w:pos="6237"/>
              </w:tabs>
              <w:jc w:val="center"/>
              <w:rPr>
                <w:rFonts w:ascii="Arial" w:hAnsi="Arial" w:cs="Arial"/>
                <w:b/>
                <w:bCs/>
                <w:caps/>
                <w:sz w:val="20"/>
                <w:szCs w:val="20"/>
              </w:rPr>
            </w:pPr>
            <w:r>
              <w:rPr>
                <w:rFonts w:ascii="Arial" w:hAnsi="Arial" w:cs="Arial"/>
                <w:b/>
                <w:bCs/>
                <w:caps/>
                <w:sz w:val="20"/>
                <w:szCs w:val="20"/>
              </w:rPr>
              <w:t>Montant (€)</w:t>
            </w:r>
          </w:p>
        </w:tc>
        <w:tc>
          <w:tcPr>
            <w:tcW w:w="1349" w:type="dxa"/>
            <w:vAlign w:val="center"/>
          </w:tcPr>
          <w:p w:rsidR="003E0564" w:rsidRDefault="0026379A">
            <w:pPr>
              <w:tabs>
                <w:tab w:val="left" w:pos="1134"/>
                <w:tab w:val="left" w:pos="6237"/>
              </w:tabs>
              <w:spacing w:before="120"/>
              <w:ind w:right="40"/>
              <w:jc w:val="center"/>
              <w:rPr>
                <w:rFonts w:ascii="Arial" w:hAnsi="Arial" w:cs="Arial"/>
                <w:b/>
                <w:bCs/>
                <w:sz w:val="20"/>
                <w:szCs w:val="20"/>
              </w:rPr>
            </w:pPr>
            <w:r>
              <w:rPr>
                <w:rFonts w:ascii="Arial" w:hAnsi="Arial" w:cs="Arial"/>
                <w:b/>
                <w:bCs/>
                <w:sz w:val="20"/>
                <w:szCs w:val="20"/>
              </w:rPr>
              <w:t>A (acquis) ou</w:t>
            </w:r>
          </w:p>
          <w:p w:rsidR="003E0564" w:rsidRDefault="0026379A">
            <w:pPr>
              <w:jc w:val="center"/>
              <w:rPr>
                <w:rFonts w:ascii="Arial" w:hAnsi="Arial" w:cs="Arial"/>
                <w:b/>
                <w:bCs/>
                <w:caps/>
                <w:sz w:val="20"/>
                <w:szCs w:val="20"/>
              </w:rPr>
            </w:pPr>
            <w:r>
              <w:rPr>
                <w:rFonts w:ascii="Arial" w:hAnsi="Arial" w:cs="Arial"/>
                <w:b/>
                <w:bCs/>
                <w:sz w:val="20"/>
                <w:szCs w:val="20"/>
              </w:rPr>
              <w:t xml:space="preserve">S </w:t>
            </w:r>
            <w:r>
              <w:rPr>
                <w:rFonts w:ascii="Arial" w:hAnsi="Arial" w:cs="Arial"/>
                <w:b/>
                <w:bCs/>
                <w:sz w:val="20"/>
                <w:szCs w:val="20"/>
              </w:rPr>
              <w:t>(sollicité</w:t>
            </w:r>
            <w:r>
              <w:rPr>
                <w:rFonts w:ascii="Arial" w:hAnsi="Arial" w:cs="Arial"/>
                <w:b/>
                <w:bCs/>
                <w:caps/>
                <w:sz w:val="20"/>
                <w:szCs w:val="20"/>
              </w:rPr>
              <w:t>)</w:t>
            </w:r>
          </w:p>
          <w:p w:rsidR="003E0564" w:rsidRDefault="003E0564">
            <w:pPr>
              <w:jc w:val="center"/>
              <w:rPr>
                <w:rFonts w:ascii="Arial" w:hAnsi="Arial" w:cs="Arial"/>
                <w:b/>
                <w:bCs/>
                <w:caps/>
                <w:sz w:val="4"/>
                <w:szCs w:val="4"/>
              </w:rPr>
            </w:pPr>
          </w:p>
          <w:p w:rsidR="003E0564" w:rsidRDefault="0026379A">
            <w:pPr>
              <w:spacing w:after="120"/>
              <w:jc w:val="center"/>
              <w:rPr>
                <w:rFonts w:ascii="Arial" w:hAnsi="Arial" w:cs="Arial"/>
                <w:sz w:val="20"/>
                <w:szCs w:val="20"/>
              </w:rPr>
            </w:pPr>
            <w:r>
              <w:rPr>
                <w:rFonts w:ascii="Arial" w:hAnsi="Arial" w:cs="Arial"/>
                <w:b/>
                <w:bCs/>
                <w:caps/>
                <w:sz w:val="20"/>
                <w:szCs w:val="20"/>
              </w:rPr>
              <w:t>(*)</w:t>
            </w:r>
          </w:p>
        </w:tc>
      </w:tr>
      <w:tr w:rsidR="003E0564">
        <w:trPr>
          <w:trHeight w:val="210"/>
          <w:jc w:val="center"/>
        </w:trPr>
        <w:tc>
          <w:tcPr>
            <w:tcW w:w="2395" w:type="dxa"/>
            <w:vMerge w:val="restart"/>
          </w:tcPr>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26379A">
            <w:pPr>
              <w:rPr>
                <w:rFonts w:ascii="Arial" w:hAnsi="Arial" w:cs="Arial"/>
                <w:b/>
                <w:bCs/>
                <w:sz w:val="20"/>
                <w:szCs w:val="20"/>
              </w:rPr>
            </w:pPr>
            <w:r>
              <w:rPr>
                <w:rFonts w:ascii="Arial" w:hAnsi="Arial" w:cs="Arial"/>
                <w:b/>
                <w:bCs/>
                <w:sz w:val="20"/>
                <w:szCs w:val="20"/>
              </w:rPr>
              <w:t>Post-doctorant</w:t>
            </w: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26379A">
            <w:pPr>
              <w:rPr>
                <w:rFonts w:ascii="Arial" w:hAnsi="Arial" w:cs="Arial"/>
                <w:b/>
                <w:bCs/>
                <w:sz w:val="20"/>
                <w:szCs w:val="20"/>
              </w:rPr>
            </w:pPr>
            <w:r>
              <w:rPr>
                <w:rFonts w:ascii="Arial" w:hAnsi="Arial" w:cs="Arial"/>
                <w:b/>
                <w:bCs/>
                <w:sz w:val="20"/>
                <w:szCs w:val="20"/>
              </w:rPr>
              <w:t xml:space="preserve">Autres dépenses de fonctionnement </w:t>
            </w:r>
          </w:p>
          <w:p w:rsidR="003E0564" w:rsidRDefault="0026379A">
            <w:pPr>
              <w:rPr>
                <w:rFonts w:ascii="Arial" w:hAnsi="Arial" w:cs="Arial"/>
                <w:i/>
                <w:iCs/>
                <w:sz w:val="18"/>
                <w:szCs w:val="18"/>
              </w:rPr>
            </w:pPr>
            <w:r>
              <w:rPr>
                <w:rFonts w:ascii="Arial" w:hAnsi="Arial" w:cs="Arial"/>
                <w:i/>
                <w:iCs/>
                <w:sz w:val="18"/>
                <w:szCs w:val="18"/>
              </w:rPr>
              <w:t>(dans les domaines des sciences humaines, sociales, économiques, juridiques, Mathématiques et informatiques)</w:t>
            </w: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rPr>
            </w:pPr>
          </w:p>
        </w:tc>
        <w:tc>
          <w:tcPr>
            <w:tcW w:w="984" w:type="dxa"/>
          </w:tcPr>
          <w:p w:rsidR="003E0564" w:rsidRDefault="0026379A">
            <w:pPr>
              <w:spacing w:before="120" w:after="120"/>
              <w:jc w:val="center"/>
              <w:rPr>
                <w:rFonts w:ascii="Arial" w:hAnsi="Arial" w:cs="Arial"/>
                <w:sz w:val="20"/>
                <w:szCs w:val="20"/>
              </w:rPr>
            </w:pPr>
            <w:r>
              <w:rPr>
                <w:rFonts w:ascii="Arial" w:hAnsi="Arial" w:cs="Arial"/>
                <w:sz w:val="20"/>
                <w:szCs w:val="20"/>
              </w:rPr>
              <w:t>Nbre d’heures</w:t>
            </w:r>
          </w:p>
        </w:tc>
        <w:tc>
          <w:tcPr>
            <w:tcW w:w="891" w:type="dxa"/>
            <w:gridSpan w:val="2"/>
          </w:tcPr>
          <w:p w:rsidR="003E0564" w:rsidRDefault="0026379A">
            <w:pPr>
              <w:spacing w:before="120"/>
              <w:jc w:val="center"/>
              <w:rPr>
                <w:rFonts w:ascii="Arial" w:hAnsi="Arial" w:cs="Arial"/>
                <w:sz w:val="20"/>
                <w:szCs w:val="20"/>
              </w:rPr>
            </w:pPr>
            <w:r>
              <w:rPr>
                <w:rFonts w:ascii="Arial" w:hAnsi="Arial" w:cs="Arial"/>
                <w:sz w:val="20"/>
                <w:szCs w:val="20"/>
              </w:rPr>
              <w:t>Coût horaire</w:t>
            </w:r>
          </w:p>
        </w:tc>
        <w:tc>
          <w:tcPr>
            <w:tcW w:w="833" w:type="dxa"/>
            <w:vAlign w:val="center"/>
          </w:tcPr>
          <w:p w:rsidR="003E0564" w:rsidRDefault="0026379A">
            <w:pPr>
              <w:jc w:val="center"/>
              <w:rPr>
                <w:rFonts w:ascii="Arial" w:hAnsi="Arial" w:cs="Arial"/>
                <w:sz w:val="20"/>
                <w:szCs w:val="20"/>
              </w:rPr>
            </w:pPr>
            <w:r>
              <w:rPr>
                <w:rFonts w:ascii="Arial" w:hAnsi="Arial" w:cs="Arial"/>
                <w:sz w:val="20"/>
                <w:szCs w:val="20"/>
              </w:rPr>
              <w:t>Total</w:t>
            </w:r>
          </w:p>
        </w:tc>
        <w:tc>
          <w:tcPr>
            <w:tcW w:w="1979" w:type="dxa"/>
            <w:vMerge w:val="restart"/>
          </w:tcPr>
          <w:p w:rsidR="003E0564" w:rsidRDefault="003E0564">
            <w:pPr>
              <w:tabs>
                <w:tab w:val="left" w:pos="1134"/>
                <w:tab w:val="left" w:pos="6237"/>
              </w:tabs>
              <w:rPr>
                <w:rFonts w:ascii="Arial" w:hAnsi="Arial" w:cs="Arial"/>
                <w:b/>
                <w:bCs/>
                <w:sz w:val="20"/>
                <w:szCs w:val="20"/>
              </w:rPr>
            </w:pPr>
          </w:p>
          <w:p w:rsidR="003E0564" w:rsidRDefault="003E0564">
            <w:pPr>
              <w:tabs>
                <w:tab w:val="left" w:pos="1134"/>
                <w:tab w:val="left" w:pos="6237"/>
              </w:tabs>
              <w:rPr>
                <w:rFonts w:ascii="Arial" w:hAnsi="Arial" w:cs="Arial"/>
                <w:b/>
                <w:bCs/>
                <w:sz w:val="20"/>
                <w:szCs w:val="20"/>
              </w:rPr>
            </w:pPr>
          </w:p>
          <w:p w:rsidR="003E0564" w:rsidRDefault="003E0564">
            <w:pPr>
              <w:tabs>
                <w:tab w:val="left" w:pos="1134"/>
                <w:tab w:val="left" w:pos="6237"/>
              </w:tabs>
              <w:rPr>
                <w:rFonts w:ascii="Arial" w:hAnsi="Arial" w:cs="Arial"/>
                <w:b/>
                <w:bCs/>
                <w:sz w:val="20"/>
                <w:szCs w:val="20"/>
              </w:rPr>
            </w:pPr>
          </w:p>
          <w:p w:rsidR="003E0564" w:rsidRDefault="003E0564">
            <w:pPr>
              <w:tabs>
                <w:tab w:val="left" w:pos="1134"/>
                <w:tab w:val="left" w:pos="6237"/>
              </w:tabs>
              <w:rPr>
                <w:rFonts w:ascii="Arial" w:hAnsi="Arial" w:cs="Arial"/>
                <w:b/>
                <w:bCs/>
                <w:sz w:val="6"/>
                <w:szCs w:val="6"/>
              </w:rPr>
            </w:pPr>
          </w:p>
          <w:p w:rsidR="003E0564" w:rsidRDefault="0026379A">
            <w:pPr>
              <w:tabs>
                <w:tab w:val="left" w:pos="1134"/>
                <w:tab w:val="left" w:pos="6237"/>
              </w:tabs>
              <w:rPr>
                <w:rFonts w:ascii="Arial" w:hAnsi="Arial" w:cs="Arial"/>
                <w:b/>
                <w:bCs/>
                <w:sz w:val="20"/>
                <w:szCs w:val="20"/>
              </w:rPr>
            </w:pPr>
            <w:r>
              <w:rPr>
                <w:rFonts w:ascii="Arial" w:hAnsi="Arial" w:cs="Arial"/>
                <w:b/>
                <w:bCs/>
                <w:sz w:val="20"/>
                <w:szCs w:val="20"/>
              </w:rPr>
              <w:t xml:space="preserve">Ressources </w:t>
            </w:r>
            <w:r>
              <w:rPr>
                <w:rFonts w:ascii="Arial" w:hAnsi="Arial" w:cs="Arial"/>
                <w:b/>
                <w:bCs/>
                <w:sz w:val="20"/>
                <w:szCs w:val="20"/>
              </w:rPr>
              <w:t>propres du laboratoire</w:t>
            </w:r>
          </w:p>
          <w:p w:rsidR="003E0564" w:rsidRDefault="003E0564">
            <w:pPr>
              <w:rPr>
                <w:rFonts w:ascii="Arial" w:hAnsi="Arial" w:cs="Arial"/>
                <w:b/>
                <w:bCs/>
                <w:sz w:val="20"/>
                <w:szCs w:val="20"/>
              </w:rPr>
            </w:pPr>
          </w:p>
          <w:p w:rsidR="003E0564" w:rsidRDefault="003E0564">
            <w:pPr>
              <w:rPr>
                <w:rFonts w:ascii="Arial" w:hAnsi="Arial" w:cs="Arial"/>
                <w:b/>
                <w:bCs/>
                <w:sz w:val="20"/>
                <w:szCs w:val="20"/>
              </w:rPr>
            </w:pPr>
          </w:p>
          <w:p w:rsidR="003E0564" w:rsidRDefault="003E0564">
            <w:pPr>
              <w:rPr>
                <w:rFonts w:ascii="Arial" w:hAnsi="Arial" w:cs="Arial"/>
                <w:b/>
                <w:bCs/>
                <w:sz w:val="20"/>
                <w:szCs w:val="20"/>
              </w:rPr>
            </w:pPr>
          </w:p>
          <w:p w:rsidR="003E0564" w:rsidRDefault="003E0564">
            <w:pPr>
              <w:rPr>
                <w:rFonts w:ascii="Arial" w:hAnsi="Arial" w:cs="Arial"/>
                <w:b/>
                <w:bCs/>
                <w:sz w:val="20"/>
                <w:szCs w:val="20"/>
              </w:rPr>
            </w:pPr>
          </w:p>
          <w:p w:rsidR="003E0564" w:rsidRDefault="003E0564">
            <w:pPr>
              <w:rPr>
                <w:rFonts w:ascii="Arial" w:hAnsi="Arial" w:cs="Arial"/>
                <w:b/>
                <w:bCs/>
                <w:sz w:val="20"/>
                <w:szCs w:val="20"/>
              </w:rPr>
            </w:pPr>
          </w:p>
          <w:p w:rsidR="003E0564" w:rsidRDefault="0026379A">
            <w:pPr>
              <w:rPr>
                <w:rFonts w:ascii="Arial" w:hAnsi="Arial" w:cs="Arial"/>
                <w:sz w:val="18"/>
                <w:szCs w:val="18"/>
              </w:rPr>
            </w:pPr>
            <w:r>
              <w:rPr>
                <w:rFonts w:ascii="Arial" w:hAnsi="Arial" w:cs="Arial"/>
                <w:b/>
                <w:bCs/>
                <w:sz w:val="20"/>
                <w:szCs w:val="20"/>
              </w:rPr>
              <w:t>Autres</w:t>
            </w:r>
            <w:r>
              <w:rPr>
                <w:rFonts w:ascii="Arial" w:hAnsi="Arial" w:cs="Arial"/>
                <w:b/>
                <w:bCs/>
                <w:sz w:val="18"/>
                <w:szCs w:val="18"/>
              </w:rPr>
              <w:t xml:space="preserve"> </w:t>
            </w:r>
            <w:r>
              <w:rPr>
                <w:rFonts w:ascii="Arial" w:hAnsi="Arial" w:cs="Arial"/>
                <w:i/>
                <w:iCs/>
                <w:sz w:val="18"/>
                <w:szCs w:val="18"/>
              </w:rPr>
              <w:t>(préciser)</w:t>
            </w: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3E0564">
            <w:pPr>
              <w:rPr>
                <w:rFonts w:ascii="Arial" w:hAnsi="Arial" w:cs="Arial"/>
                <w:sz w:val="20"/>
                <w:szCs w:val="20"/>
              </w:rPr>
            </w:pPr>
          </w:p>
          <w:p w:rsidR="003E0564" w:rsidRDefault="0026379A">
            <w:pPr>
              <w:rPr>
                <w:rFonts w:ascii="Arial" w:hAnsi="Arial" w:cs="Arial"/>
                <w:b/>
                <w:bCs/>
                <w:sz w:val="20"/>
                <w:szCs w:val="20"/>
              </w:rPr>
            </w:pPr>
            <w:r>
              <w:rPr>
                <w:rFonts w:ascii="Arial" w:hAnsi="Arial" w:cs="Arial"/>
                <w:b/>
                <w:bCs/>
                <w:sz w:val="20"/>
                <w:szCs w:val="20"/>
              </w:rPr>
              <w:t xml:space="preserve">Région PACA </w:t>
            </w:r>
          </w:p>
          <w:p w:rsidR="003E0564" w:rsidRDefault="0026379A">
            <w:pPr>
              <w:tabs>
                <w:tab w:val="left" w:pos="1134"/>
                <w:tab w:val="left" w:pos="6237"/>
              </w:tabs>
              <w:rPr>
                <w:rFonts w:ascii="Arial" w:hAnsi="Arial" w:cs="Arial"/>
                <w:b/>
                <w:bCs/>
                <w:i/>
                <w:iCs/>
                <w:sz w:val="20"/>
                <w:szCs w:val="20"/>
              </w:rPr>
            </w:pPr>
            <w:r>
              <w:rPr>
                <w:rFonts w:ascii="Arial" w:hAnsi="Arial" w:cs="Arial"/>
                <w:i/>
                <w:iCs/>
                <w:sz w:val="18"/>
                <w:szCs w:val="18"/>
              </w:rPr>
              <w:t>(objet de la présente demande)</w:t>
            </w:r>
          </w:p>
        </w:tc>
        <w:tc>
          <w:tcPr>
            <w:tcW w:w="1376" w:type="dxa"/>
            <w:vMerge w:val="restart"/>
          </w:tcPr>
          <w:p w:rsidR="003E0564" w:rsidRDefault="003E0564">
            <w:pPr>
              <w:tabs>
                <w:tab w:val="left" w:pos="1134"/>
                <w:tab w:val="left" w:pos="6237"/>
              </w:tabs>
              <w:rPr>
                <w:rFonts w:ascii="Arial" w:hAnsi="Arial" w:cs="Arial"/>
                <w:b/>
                <w:bCs/>
              </w:rPr>
            </w:pPr>
          </w:p>
          <w:p w:rsidR="003E0564" w:rsidRDefault="003E0564">
            <w:pPr>
              <w:tabs>
                <w:tab w:val="left" w:pos="1134"/>
                <w:tab w:val="left" w:pos="6237"/>
              </w:tabs>
              <w:rPr>
                <w:rFonts w:ascii="Arial" w:hAnsi="Arial" w:cs="Arial"/>
                <w:b/>
                <w:bCs/>
              </w:rPr>
            </w:pPr>
          </w:p>
          <w:p w:rsidR="003E0564" w:rsidRDefault="003E0564">
            <w:pPr>
              <w:tabs>
                <w:tab w:val="left" w:pos="1134"/>
                <w:tab w:val="left" w:pos="6237"/>
              </w:tabs>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rPr>
            </w:pPr>
          </w:p>
        </w:tc>
        <w:tc>
          <w:tcPr>
            <w:tcW w:w="1349" w:type="dxa"/>
            <w:vMerge w:val="restart"/>
          </w:tcPr>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b/>
                <w:bCs/>
              </w:rPr>
            </w:pPr>
          </w:p>
          <w:p w:rsidR="003E0564" w:rsidRDefault="003E0564">
            <w:pPr>
              <w:rPr>
                <w:rFonts w:ascii="Arial" w:hAnsi="Arial" w:cs="Arial"/>
              </w:rPr>
            </w:pPr>
          </w:p>
        </w:tc>
      </w:tr>
      <w:tr w:rsidR="003E0564">
        <w:trPr>
          <w:trHeight w:val="330"/>
          <w:jc w:val="center"/>
        </w:trPr>
        <w:tc>
          <w:tcPr>
            <w:tcW w:w="2395" w:type="dxa"/>
            <w:vMerge/>
          </w:tcPr>
          <w:p w:rsidR="003E0564" w:rsidRDefault="003E0564">
            <w:pPr>
              <w:rPr>
                <w:rFonts w:ascii="Arial" w:hAnsi="Arial" w:cs="Arial"/>
              </w:rPr>
            </w:pPr>
          </w:p>
        </w:tc>
        <w:tc>
          <w:tcPr>
            <w:tcW w:w="984" w:type="dxa"/>
          </w:tcPr>
          <w:p w:rsidR="003E0564" w:rsidRDefault="003E0564">
            <w:pPr>
              <w:spacing w:before="120" w:after="120"/>
              <w:jc w:val="center"/>
              <w:rPr>
                <w:rFonts w:ascii="Arial" w:hAnsi="Arial" w:cs="Arial"/>
              </w:rPr>
            </w:pPr>
          </w:p>
        </w:tc>
        <w:tc>
          <w:tcPr>
            <w:tcW w:w="891" w:type="dxa"/>
            <w:gridSpan w:val="2"/>
          </w:tcPr>
          <w:p w:rsidR="003E0564" w:rsidRDefault="003E0564">
            <w:pPr>
              <w:spacing w:before="120" w:after="120"/>
              <w:jc w:val="center"/>
              <w:rPr>
                <w:rFonts w:ascii="Arial" w:hAnsi="Arial" w:cs="Arial"/>
              </w:rPr>
            </w:pPr>
          </w:p>
        </w:tc>
        <w:tc>
          <w:tcPr>
            <w:tcW w:w="833" w:type="dxa"/>
          </w:tcPr>
          <w:p w:rsidR="003E0564" w:rsidRDefault="003E0564">
            <w:pPr>
              <w:spacing w:before="120" w:after="120"/>
              <w:jc w:val="center"/>
              <w:rPr>
                <w:rFonts w:ascii="Arial" w:hAnsi="Arial" w:cs="Arial"/>
              </w:rPr>
            </w:pPr>
          </w:p>
        </w:tc>
        <w:tc>
          <w:tcPr>
            <w:tcW w:w="1979" w:type="dxa"/>
            <w:vMerge/>
          </w:tcPr>
          <w:p w:rsidR="003E0564" w:rsidRDefault="003E0564">
            <w:pPr>
              <w:tabs>
                <w:tab w:val="left" w:pos="1134"/>
                <w:tab w:val="left" w:pos="6237"/>
              </w:tabs>
              <w:rPr>
                <w:rFonts w:ascii="Arial" w:hAnsi="Arial" w:cs="Arial"/>
              </w:rPr>
            </w:pPr>
          </w:p>
        </w:tc>
        <w:tc>
          <w:tcPr>
            <w:tcW w:w="1376" w:type="dxa"/>
            <w:vMerge/>
          </w:tcPr>
          <w:p w:rsidR="003E0564" w:rsidRDefault="003E0564">
            <w:pPr>
              <w:rPr>
                <w:rFonts w:ascii="Arial" w:hAnsi="Arial" w:cs="Arial"/>
              </w:rPr>
            </w:pPr>
          </w:p>
        </w:tc>
        <w:tc>
          <w:tcPr>
            <w:tcW w:w="1349" w:type="dxa"/>
            <w:vMerge/>
          </w:tcPr>
          <w:p w:rsidR="003E0564" w:rsidRDefault="003E0564">
            <w:pPr>
              <w:rPr>
                <w:rFonts w:ascii="Arial" w:hAnsi="Arial" w:cs="Arial"/>
              </w:rPr>
            </w:pPr>
          </w:p>
        </w:tc>
      </w:tr>
      <w:tr w:rsidR="003E0564">
        <w:trPr>
          <w:trHeight w:val="2700"/>
          <w:jc w:val="center"/>
        </w:trPr>
        <w:tc>
          <w:tcPr>
            <w:tcW w:w="2395" w:type="dxa"/>
            <w:vMerge/>
          </w:tcPr>
          <w:p w:rsidR="003E0564" w:rsidRDefault="003E0564">
            <w:pPr>
              <w:rPr>
                <w:rFonts w:ascii="Arial" w:hAnsi="Arial" w:cs="Arial"/>
              </w:rPr>
            </w:pPr>
          </w:p>
        </w:tc>
        <w:tc>
          <w:tcPr>
            <w:tcW w:w="2708" w:type="dxa"/>
            <w:gridSpan w:val="4"/>
          </w:tcPr>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p w:rsidR="003E0564" w:rsidRDefault="003E0564">
            <w:pPr>
              <w:rPr>
                <w:rFonts w:ascii="Arial" w:hAnsi="Arial" w:cs="Arial"/>
              </w:rPr>
            </w:pPr>
          </w:p>
        </w:tc>
        <w:tc>
          <w:tcPr>
            <w:tcW w:w="1979" w:type="dxa"/>
            <w:vMerge/>
          </w:tcPr>
          <w:p w:rsidR="003E0564" w:rsidRDefault="003E0564">
            <w:pPr>
              <w:tabs>
                <w:tab w:val="left" w:pos="1134"/>
                <w:tab w:val="left" w:pos="6237"/>
              </w:tabs>
              <w:rPr>
                <w:rFonts w:ascii="Arial" w:hAnsi="Arial" w:cs="Arial"/>
              </w:rPr>
            </w:pPr>
          </w:p>
        </w:tc>
        <w:tc>
          <w:tcPr>
            <w:tcW w:w="1376" w:type="dxa"/>
            <w:vMerge/>
          </w:tcPr>
          <w:p w:rsidR="003E0564" w:rsidRDefault="003E0564">
            <w:pPr>
              <w:rPr>
                <w:rFonts w:ascii="Arial" w:hAnsi="Arial" w:cs="Arial"/>
              </w:rPr>
            </w:pPr>
          </w:p>
        </w:tc>
        <w:tc>
          <w:tcPr>
            <w:tcW w:w="1349" w:type="dxa"/>
            <w:vMerge/>
          </w:tcPr>
          <w:p w:rsidR="003E0564" w:rsidRDefault="003E0564">
            <w:pPr>
              <w:rPr>
                <w:rFonts w:ascii="Arial" w:hAnsi="Arial" w:cs="Arial"/>
              </w:rPr>
            </w:pPr>
          </w:p>
        </w:tc>
      </w:tr>
      <w:tr w:rsidR="003E0564">
        <w:trPr>
          <w:trHeight w:val="417"/>
          <w:jc w:val="center"/>
        </w:trPr>
        <w:tc>
          <w:tcPr>
            <w:tcW w:w="2395" w:type="dxa"/>
            <w:vAlign w:val="center"/>
          </w:tcPr>
          <w:p w:rsidR="003E0564" w:rsidRDefault="0026379A">
            <w:pPr>
              <w:spacing w:before="120"/>
              <w:jc w:val="center"/>
              <w:rPr>
                <w:rFonts w:ascii="Arial" w:hAnsi="Arial" w:cs="Arial"/>
                <w:b/>
                <w:bCs/>
                <w:sz w:val="22"/>
                <w:szCs w:val="22"/>
              </w:rPr>
            </w:pPr>
            <w:r>
              <w:rPr>
                <w:rFonts w:ascii="Arial" w:hAnsi="Arial" w:cs="Arial"/>
                <w:b/>
                <w:bCs/>
                <w:sz w:val="22"/>
                <w:szCs w:val="22"/>
              </w:rPr>
              <w:t>TOTAL</w:t>
            </w:r>
          </w:p>
          <w:p w:rsidR="003E0564" w:rsidRDefault="0026379A">
            <w:pPr>
              <w:spacing w:after="120"/>
              <w:jc w:val="center"/>
              <w:rPr>
                <w:rFonts w:ascii="Arial" w:hAnsi="Arial" w:cs="Arial"/>
              </w:rPr>
            </w:pPr>
            <w:r>
              <w:rPr>
                <w:rFonts w:ascii="Arial" w:hAnsi="Arial" w:cs="Arial"/>
                <w:b/>
                <w:bCs/>
                <w:sz w:val="22"/>
                <w:szCs w:val="22"/>
              </w:rPr>
              <w:t>DEPENSES (**)</w:t>
            </w:r>
          </w:p>
        </w:tc>
        <w:tc>
          <w:tcPr>
            <w:tcW w:w="1802" w:type="dxa"/>
            <w:gridSpan w:val="2"/>
            <w:vAlign w:val="center"/>
          </w:tcPr>
          <w:p w:rsidR="003E0564" w:rsidRDefault="003E0564">
            <w:pPr>
              <w:jc w:val="center"/>
              <w:rPr>
                <w:rFonts w:ascii="Arial" w:hAnsi="Arial" w:cs="Arial"/>
              </w:rPr>
            </w:pPr>
          </w:p>
        </w:tc>
        <w:tc>
          <w:tcPr>
            <w:tcW w:w="906" w:type="dxa"/>
            <w:gridSpan w:val="2"/>
            <w:vAlign w:val="center"/>
          </w:tcPr>
          <w:p w:rsidR="003E0564" w:rsidRDefault="003E0564">
            <w:pPr>
              <w:jc w:val="center"/>
              <w:rPr>
                <w:rFonts w:ascii="Arial" w:hAnsi="Arial" w:cs="Arial"/>
              </w:rPr>
            </w:pPr>
          </w:p>
        </w:tc>
        <w:tc>
          <w:tcPr>
            <w:tcW w:w="1979" w:type="dxa"/>
            <w:vAlign w:val="center"/>
          </w:tcPr>
          <w:p w:rsidR="003E0564" w:rsidRDefault="0026379A">
            <w:pPr>
              <w:spacing w:before="120"/>
              <w:jc w:val="center"/>
              <w:rPr>
                <w:rFonts w:ascii="Arial" w:hAnsi="Arial" w:cs="Arial"/>
                <w:b/>
                <w:bCs/>
                <w:sz w:val="22"/>
                <w:szCs w:val="22"/>
              </w:rPr>
            </w:pPr>
            <w:r>
              <w:rPr>
                <w:rFonts w:ascii="Arial" w:hAnsi="Arial" w:cs="Arial"/>
                <w:b/>
                <w:bCs/>
                <w:sz w:val="22"/>
                <w:szCs w:val="22"/>
              </w:rPr>
              <w:t>TOTAL</w:t>
            </w:r>
          </w:p>
          <w:p w:rsidR="003E0564" w:rsidRDefault="0026379A">
            <w:pPr>
              <w:spacing w:after="120"/>
              <w:jc w:val="center"/>
              <w:rPr>
                <w:rFonts w:ascii="Arial" w:hAnsi="Arial" w:cs="Arial"/>
              </w:rPr>
            </w:pPr>
            <w:r>
              <w:rPr>
                <w:rFonts w:ascii="Arial" w:hAnsi="Arial" w:cs="Arial"/>
                <w:b/>
                <w:bCs/>
                <w:sz w:val="22"/>
                <w:szCs w:val="22"/>
              </w:rPr>
              <w:t>RECETTES (**)</w:t>
            </w:r>
          </w:p>
        </w:tc>
        <w:tc>
          <w:tcPr>
            <w:tcW w:w="1376" w:type="dxa"/>
            <w:vAlign w:val="center"/>
          </w:tcPr>
          <w:p w:rsidR="003E0564" w:rsidRDefault="003E0564">
            <w:pPr>
              <w:jc w:val="center"/>
              <w:rPr>
                <w:rFonts w:ascii="Arial" w:hAnsi="Arial" w:cs="Arial"/>
              </w:rPr>
            </w:pPr>
          </w:p>
        </w:tc>
        <w:tc>
          <w:tcPr>
            <w:tcW w:w="1349" w:type="dxa"/>
            <w:vAlign w:val="center"/>
          </w:tcPr>
          <w:p w:rsidR="003E0564" w:rsidRDefault="003E0564">
            <w:pPr>
              <w:jc w:val="center"/>
              <w:rPr>
                <w:rFonts w:ascii="Arial" w:hAnsi="Arial" w:cs="Arial"/>
              </w:rPr>
            </w:pPr>
          </w:p>
        </w:tc>
      </w:tr>
    </w:tbl>
    <w:p w:rsidR="003E0564" w:rsidRDefault="003E0564">
      <w:pPr>
        <w:rPr>
          <w:rFonts w:ascii="Arial" w:hAnsi="Arial" w:cs="Arial"/>
          <w:sz w:val="10"/>
          <w:szCs w:val="10"/>
        </w:rPr>
      </w:pPr>
    </w:p>
    <w:p w:rsidR="003E0564" w:rsidRDefault="0026379A">
      <w:pPr>
        <w:rPr>
          <w:rFonts w:ascii="Arial" w:hAnsi="Arial" w:cs="Arial"/>
          <w:sz w:val="12"/>
          <w:szCs w:val="12"/>
        </w:rPr>
      </w:pPr>
      <w:r>
        <w:rPr>
          <w:rFonts w:ascii="Arial" w:hAnsi="Arial" w:cs="Arial"/>
          <w:sz w:val="20"/>
          <w:szCs w:val="20"/>
        </w:rPr>
        <w:t xml:space="preserve">            (*) Indiquer la date prévue de la réponse aux financements sollicités</w:t>
      </w:r>
    </w:p>
    <w:p w:rsidR="003E0564" w:rsidRDefault="0026379A">
      <w:pPr>
        <w:ind w:firstLine="540"/>
        <w:rPr>
          <w:rFonts w:ascii="Arial" w:hAnsi="Arial" w:cs="Arial"/>
          <w:sz w:val="20"/>
          <w:szCs w:val="20"/>
        </w:rPr>
      </w:pPr>
      <w:r>
        <w:rPr>
          <w:rFonts w:ascii="Arial" w:hAnsi="Arial" w:cs="Arial"/>
          <w:sz w:val="20"/>
          <w:szCs w:val="20"/>
        </w:rPr>
        <w:t xml:space="preserve"> (**) Le total des recettes doit être égal au total des dépenses</w:t>
      </w:r>
    </w:p>
    <w:p w:rsidR="003E0564" w:rsidRDefault="0026379A">
      <w:pPr>
        <w:jc w:val="center"/>
        <w:rPr>
          <w:rFonts w:ascii="Arial" w:hAnsi="Arial" w:cs="Arial"/>
          <w:sz w:val="20"/>
          <w:szCs w:val="20"/>
        </w:rPr>
      </w:pPr>
      <w:r>
        <w:rPr>
          <w:rFonts w:ascii="Arial" w:hAnsi="Arial" w:cs="Arial"/>
          <w:sz w:val="20"/>
          <w:szCs w:val="20"/>
        </w:rPr>
        <w:br w:type="page"/>
      </w:r>
      <w:r>
        <w:rPr>
          <w:rFonts w:ascii="Arial" w:hAnsi="Arial" w:cs="Arial"/>
          <w:noProof/>
          <w:sz w:val="20"/>
          <w:szCs w:val="20"/>
        </w:rPr>
        <w:drawing>
          <wp:inline distT="0" distB="0" distL="0" distR="0">
            <wp:extent cx="6393815" cy="9109710"/>
            <wp:effectExtent l="1905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8189"/>
                    <a:stretch>
                      <a:fillRect/>
                    </a:stretch>
                  </pic:blipFill>
                  <pic:spPr bwMode="auto">
                    <a:xfrm>
                      <a:off x="0" y="0"/>
                      <a:ext cx="6393815" cy="9109710"/>
                    </a:xfrm>
                    <a:prstGeom prst="rect">
                      <a:avLst/>
                    </a:prstGeom>
                    <a:noFill/>
                    <a:ln w="9525">
                      <a:noFill/>
                      <a:miter lim="800000"/>
                      <a:headEnd/>
                      <a:tailEnd/>
                    </a:ln>
                  </pic:spPr>
                </pic:pic>
              </a:graphicData>
            </a:graphic>
          </wp:inline>
        </w:drawing>
      </w:r>
    </w:p>
    <w:p w:rsidR="003E0564" w:rsidRDefault="003E0564">
      <w:pPr>
        <w:rPr>
          <w:rFonts w:ascii="Arial" w:hAnsi="Arial" w:cs="Arial"/>
          <w:sz w:val="20"/>
          <w:szCs w:val="20"/>
        </w:rPr>
      </w:pPr>
    </w:p>
    <w:p w:rsidR="003E0564" w:rsidRDefault="0026379A">
      <w:pPr>
        <w:jc w:val="center"/>
        <w:rPr>
          <w:rFonts w:ascii="Arial" w:hAnsi="Arial" w:cs="Arial"/>
          <w:sz w:val="20"/>
          <w:szCs w:val="20"/>
        </w:rPr>
      </w:pPr>
      <w:r>
        <w:rPr>
          <w:rFonts w:ascii="Arial" w:hAnsi="Arial" w:cs="Arial"/>
          <w:noProof/>
          <w:sz w:val="20"/>
          <w:szCs w:val="20"/>
        </w:rPr>
        <w:drawing>
          <wp:inline distT="0" distB="0" distL="0" distR="0">
            <wp:extent cx="6475730" cy="9717405"/>
            <wp:effectExtent l="1905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475730" cy="9717405"/>
                    </a:xfrm>
                    <a:prstGeom prst="rect">
                      <a:avLst/>
                    </a:prstGeom>
                    <a:noFill/>
                    <a:ln w="9525">
                      <a:noFill/>
                      <a:miter lim="800000"/>
                      <a:headEnd/>
                      <a:tailEnd/>
                    </a:ln>
                  </pic:spPr>
                </pic:pic>
              </a:graphicData>
            </a:graphic>
          </wp:inline>
        </w:drawing>
      </w:r>
    </w:p>
    <w:sectPr w:rsidR="003E0564" w:rsidSect="003E0564">
      <w:footerReference w:type="default" r:id="rId11"/>
      <w:pgSz w:w="11906" w:h="16838"/>
      <w:pgMar w:top="567" w:right="851" w:bottom="567" w:left="851"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79A" w:rsidRDefault="0026379A">
      <w:r>
        <w:separator/>
      </w:r>
    </w:p>
  </w:endnote>
  <w:endnote w:type="continuationSeparator" w:id="0">
    <w:p w:rsidR="0026379A" w:rsidRDefault="0026379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Dutch">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564" w:rsidRDefault="003E0564">
    <w:pPr>
      <w:pStyle w:val="Pieddepage"/>
      <w:jc w:val="right"/>
    </w:pPr>
    <w:r>
      <w:rPr>
        <w:b/>
        <w:bCs/>
      </w:rPr>
      <w:fldChar w:fldCharType="begin"/>
    </w:r>
    <w:r w:rsidR="0026379A">
      <w:rPr>
        <w:b/>
        <w:bCs/>
      </w:rPr>
      <w:instrText>PAGE</w:instrText>
    </w:r>
    <w:r>
      <w:rPr>
        <w:b/>
        <w:bCs/>
      </w:rPr>
      <w:fldChar w:fldCharType="separate"/>
    </w:r>
    <w:r w:rsidR="00EB54A4">
      <w:rPr>
        <w:b/>
        <w:bCs/>
        <w:noProof/>
      </w:rPr>
      <w:t>1</w:t>
    </w:r>
    <w:r>
      <w:rPr>
        <w:b/>
        <w:bCs/>
      </w:rPr>
      <w:fldChar w:fldCharType="end"/>
    </w:r>
    <w:r w:rsidR="0026379A">
      <w:rPr>
        <w:b/>
        <w:bCs/>
      </w:rPr>
      <w:t>/</w:t>
    </w:r>
    <w:r>
      <w:rPr>
        <w:b/>
        <w:bCs/>
      </w:rPr>
      <w:fldChar w:fldCharType="begin"/>
    </w:r>
    <w:r w:rsidR="0026379A">
      <w:rPr>
        <w:b/>
        <w:bCs/>
      </w:rPr>
      <w:instrText>NUMPAGES</w:instrText>
    </w:r>
    <w:r>
      <w:rPr>
        <w:b/>
        <w:bCs/>
      </w:rPr>
      <w:fldChar w:fldCharType="separate"/>
    </w:r>
    <w:r w:rsidR="00EB54A4">
      <w:rPr>
        <w:b/>
        <w:bCs/>
        <w:noProof/>
      </w:rPr>
      <w:t>12</w:t>
    </w:r>
    <w:r>
      <w:rPr>
        <w:b/>
        <w:bCs/>
      </w:rPr>
      <w:fldChar w:fldCharType="end"/>
    </w:r>
  </w:p>
  <w:p w:rsidR="003E0564" w:rsidRDefault="0026379A">
    <w:pPr>
      <w:pStyle w:val="Pieddepage"/>
      <w:tabs>
        <w:tab w:val="left" w:pos="1701"/>
        <w:tab w:val="left" w:pos="4962"/>
        <w:tab w:val="left" w:pos="8505"/>
      </w:tabs>
      <w:jc w:val="center"/>
      <w:rPr>
        <w:rFonts w:ascii="Arial" w:hAnsi="Arial" w:cs="Arial"/>
        <w:sz w:val="18"/>
        <w:szCs w:val="18"/>
      </w:rPr>
    </w:pPr>
    <w:r>
      <w:rPr>
        <w:rFonts w:ascii="Arial" w:hAnsi="Arial" w:cs="Arial"/>
        <w:sz w:val="18"/>
        <w:szCs w:val="18"/>
      </w:rPr>
      <w:t xml:space="preserve">Région </w:t>
    </w:r>
    <w:r>
      <w:rPr>
        <w:rFonts w:ascii="Arial" w:hAnsi="Arial" w:cs="Arial"/>
        <w:sz w:val="18"/>
        <w:szCs w:val="18"/>
      </w:rPr>
      <w:t>Provence-Alpes-Côte d'Azur - Appel à projets recherche 2014</w:t>
    </w:r>
  </w:p>
  <w:p w:rsidR="003E0564" w:rsidRDefault="003E0564">
    <w:pPr>
      <w:pStyle w:val="Pieddepage"/>
      <w:tabs>
        <w:tab w:val="left" w:pos="1701"/>
        <w:tab w:val="left" w:pos="4962"/>
        <w:tab w:val="left" w:pos="8505"/>
      </w:tabs>
      <w:jc w:val="center"/>
      <w:rPr>
        <w:rFonts w:ascii="Arial" w:hAnsi="Arial" w:cs="Arial"/>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79A" w:rsidRDefault="0026379A">
      <w:r>
        <w:separator/>
      </w:r>
    </w:p>
  </w:footnote>
  <w:footnote w:type="continuationSeparator" w:id="0">
    <w:p w:rsidR="0026379A" w:rsidRDefault="002637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8pt;height:9.8pt" o:bullet="t">
        <v:imagedata r:id="rId1" o:title=""/>
      </v:shape>
    </w:pict>
  </w:numPicBullet>
  <w:abstractNum w:abstractNumId="0">
    <w:nsid w:val="02872D9E"/>
    <w:multiLevelType w:val="hybridMultilevel"/>
    <w:tmpl w:val="964C8DC8"/>
    <w:lvl w:ilvl="0" w:tplc="040C0009">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
    <w:nsid w:val="02AB1C3A"/>
    <w:multiLevelType w:val="hybridMultilevel"/>
    <w:tmpl w:val="F6EA0714"/>
    <w:lvl w:ilvl="0" w:tplc="EC6C9F34">
      <w:start w:val="1"/>
      <w:numFmt w:val="bullet"/>
      <w:lvlText w:val=""/>
      <w:lvlJc w:val="left"/>
      <w:pPr>
        <w:ind w:left="720" w:hanging="360"/>
      </w:pPr>
      <w:rPr>
        <w:rFonts w:ascii="Wingdings" w:hAnsi="Wingdings" w:cs="Wingdings" w:hint="default"/>
        <w:color w:val="auto"/>
        <w:sz w:val="32"/>
        <w:szCs w:val="3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
    <w:nsid w:val="04167AE8"/>
    <w:multiLevelType w:val="hybridMultilevel"/>
    <w:tmpl w:val="D252529E"/>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nsid w:val="098865E1"/>
    <w:multiLevelType w:val="hybridMultilevel"/>
    <w:tmpl w:val="57C473B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0CC76C5D"/>
    <w:multiLevelType w:val="hybridMultilevel"/>
    <w:tmpl w:val="F3C806F6"/>
    <w:lvl w:ilvl="0" w:tplc="00000000">
      <w:numFmt w:val="bullet"/>
      <w:lvlText w:val="-"/>
      <w:lvlJc w:val="left"/>
      <w:pPr>
        <w:ind w:left="1080" w:hanging="360"/>
      </w:pPr>
      <w:rPr>
        <w:rFonts w:ascii="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5">
    <w:nsid w:val="0E06219E"/>
    <w:multiLevelType w:val="hybridMultilevel"/>
    <w:tmpl w:val="B6CC32C4"/>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
    <w:nsid w:val="16AE4ED3"/>
    <w:multiLevelType w:val="hybridMultilevel"/>
    <w:tmpl w:val="253832C0"/>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
    <w:nsid w:val="17277931"/>
    <w:multiLevelType w:val="hybridMultilevel"/>
    <w:tmpl w:val="5A54C71A"/>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
    <w:nsid w:val="19161B47"/>
    <w:multiLevelType w:val="multilevel"/>
    <w:tmpl w:val="69E852C2"/>
    <w:lvl w:ilvl="0">
      <w:start w:val="1"/>
      <w:numFmt w:val="decimal"/>
      <w:lvlText w:val="%1"/>
      <w:lvlJc w:val="left"/>
      <w:pPr>
        <w:ind w:left="405" w:hanging="405"/>
      </w:pPr>
      <w:rPr>
        <w:rFonts w:hint="default"/>
        <w:b/>
        <w:bCs/>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800" w:hanging="1800"/>
      </w:pPr>
      <w:rPr>
        <w:rFonts w:hint="default"/>
        <w:b/>
        <w:bCs/>
      </w:rPr>
    </w:lvl>
  </w:abstractNum>
  <w:abstractNum w:abstractNumId="9">
    <w:nsid w:val="1A7F2B3A"/>
    <w:multiLevelType w:val="hybridMultilevel"/>
    <w:tmpl w:val="A590282E"/>
    <w:lvl w:ilvl="0" w:tplc="040C0001">
      <w:start w:val="1"/>
      <w:numFmt w:val="bullet"/>
      <w:lvlText w:val=""/>
      <w:lvlJc w:val="left"/>
      <w:pPr>
        <w:tabs>
          <w:tab w:val="num" w:pos="720"/>
        </w:tabs>
        <w:ind w:left="720" w:hanging="360"/>
      </w:pPr>
      <w:rPr>
        <w:rFonts w:ascii="Symbol" w:hAnsi="Symbol" w:cs="Symbol" w:hint="default"/>
      </w:rPr>
    </w:lvl>
    <w:lvl w:ilvl="1" w:tplc="00000000">
      <w:numFmt w:val="bullet"/>
      <w:lvlText w:val="-"/>
      <w:lvlJc w:val="left"/>
      <w:pPr>
        <w:tabs>
          <w:tab w:val="num" w:pos="1440"/>
        </w:tabs>
        <w:ind w:left="1440" w:hanging="360"/>
      </w:pPr>
      <w:rPr>
        <w:rFonts w:ascii="Times New Roman" w:hAnsi="Times New Roman" w:cs="Times New Roman"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0">
    <w:nsid w:val="1BB772F0"/>
    <w:multiLevelType w:val="hybridMultilevel"/>
    <w:tmpl w:val="F76EDBD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
    <w:nsid w:val="1CDD0FDA"/>
    <w:multiLevelType w:val="multilevel"/>
    <w:tmpl w:val="C1C4199A"/>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360" w:hanging="360"/>
      </w:pPr>
      <w:rPr>
        <w:rFonts w:ascii="Arial" w:hAnsi="Arial" w:cs="Arial" w:hint="default"/>
        <w:sz w:val="22"/>
        <w:szCs w:val="22"/>
      </w:rPr>
    </w:lvl>
    <w:lvl w:ilvl="2">
      <w:start w:val="1"/>
      <w:numFmt w:val="decimal"/>
      <w:lvlText w:val="%1.%2.%3"/>
      <w:lvlJc w:val="left"/>
      <w:pPr>
        <w:ind w:left="720" w:hanging="720"/>
      </w:pPr>
      <w:rPr>
        <w:rFonts w:ascii="Arial" w:hAnsi="Arial" w:cs="Arial" w:hint="default"/>
        <w:sz w:val="22"/>
        <w:szCs w:val="22"/>
      </w:rPr>
    </w:lvl>
    <w:lvl w:ilvl="3">
      <w:start w:val="1"/>
      <w:numFmt w:val="decimal"/>
      <w:lvlText w:val="%1.%2.%3.%4"/>
      <w:lvlJc w:val="left"/>
      <w:pPr>
        <w:ind w:left="720" w:hanging="720"/>
      </w:pPr>
      <w:rPr>
        <w:rFonts w:ascii="Arial" w:hAnsi="Arial" w:cs="Arial" w:hint="default"/>
        <w:sz w:val="22"/>
        <w:szCs w:val="22"/>
      </w:rPr>
    </w:lvl>
    <w:lvl w:ilvl="4">
      <w:start w:val="1"/>
      <w:numFmt w:val="decimal"/>
      <w:lvlText w:val="%1.%2.%3.%4.%5"/>
      <w:lvlJc w:val="left"/>
      <w:pPr>
        <w:ind w:left="1080" w:hanging="1080"/>
      </w:pPr>
      <w:rPr>
        <w:rFonts w:ascii="Arial" w:hAnsi="Arial" w:cs="Arial" w:hint="default"/>
        <w:sz w:val="22"/>
        <w:szCs w:val="22"/>
      </w:rPr>
    </w:lvl>
    <w:lvl w:ilvl="5">
      <w:start w:val="1"/>
      <w:numFmt w:val="decimal"/>
      <w:lvlText w:val="%1.%2.%3.%4.%5.%6"/>
      <w:lvlJc w:val="left"/>
      <w:pPr>
        <w:ind w:left="1080" w:hanging="1080"/>
      </w:pPr>
      <w:rPr>
        <w:rFonts w:ascii="Arial" w:hAnsi="Arial" w:cs="Arial" w:hint="default"/>
        <w:sz w:val="22"/>
        <w:szCs w:val="22"/>
      </w:rPr>
    </w:lvl>
    <w:lvl w:ilvl="6">
      <w:start w:val="1"/>
      <w:numFmt w:val="decimal"/>
      <w:lvlText w:val="%1.%2.%3.%4.%5.%6.%7"/>
      <w:lvlJc w:val="left"/>
      <w:pPr>
        <w:ind w:left="1440" w:hanging="1440"/>
      </w:pPr>
      <w:rPr>
        <w:rFonts w:ascii="Arial" w:hAnsi="Arial" w:cs="Arial" w:hint="default"/>
        <w:sz w:val="22"/>
        <w:szCs w:val="22"/>
      </w:rPr>
    </w:lvl>
    <w:lvl w:ilvl="7">
      <w:start w:val="1"/>
      <w:numFmt w:val="decimal"/>
      <w:lvlText w:val="%1.%2.%3.%4.%5.%6.%7.%8"/>
      <w:lvlJc w:val="left"/>
      <w:pPr>
        <w:ind w:left="1440" w:hanging="1440"/>
      </w:pPr>
      <w:rPr>
        <w:rFonts w:ascii="Arial" w:hAnsi="Arial" w:cs="Arial" w:hint="default"/>
        <w:sz w:val="22"/>
        <w:szCs w:val="22"/>
      </w:rPr>
    </w:lvl>
    <w:lvl w:ilvl="8">
      <w:start w:val="1"/>
      <w:numFmt w:val="decimal"/>
      <w:lvlText w:val="%1.%2.%3.%4.%5.%6.%7.%8.%9"/>
      <w:lvlJc w:val="left"/>
      <w:pPr>
        <w:ind w:left="1800" w:hanging="1800"/>
      </w:pPr>
      <w:rPr>
        <w:rFonts w:ascii="Arial" w:hAnsi="Arial" w:cs="Arial" w:hint="default"/>
        <w:sz w:val="22"/>
        <w:szCs w:val="22"/>
      </w:rPr>
    </w:lvl>
  </w:abstractNum>
  <w:abstractNum w:abstractNumId="12">
    <w:nsid w:val="22222B1B"/>
    <w:multiLevelType w:val="hybridMultilevel"/>
    <w:tmpl w:val="ADC4E1A4"/>
    <w:lvl w:ilvl="0" w:tplc="00000000">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nsid w:val="29136D08"/>
    <w:multiLevelType w:val="hybridMultilevel"/>
    <w:tmpl w:val="3A7061C4"/>
    <w:lvl w:ilvl="0" w:tplc="00000000">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4">
    <w:nsid w:val="2DBC51B1"/>
    <w:multiLevelType w:val="hybridMultilevel"/>
    <w:tmpl w:val="91AC197E"/>
    <w:lvl w:ilvl="0" w:tplc="040C0005">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nsid w:val="30DC1736"/>
    <w:multiLevelType w:val="hybridMultilevel"/>
    <w:tmpl w:val="4B0800DC"/>
    <w:lvl w:ilvl="0" w:tplc="AB7AF338">
      <w:start w:val="2"/>
      <w:numFmt w:val="bullet"/>
      <w:lvlText w:val="-"/>
      <w:lvlJc w:val="left"/>
      <w:pPr>
        <w:tabs>
          <w:tab w:val="num" w:pos="1363"/>
        </w:tabs>
        <w:ind w:left="1363" w:hanging="360"/>
      </w:pPr>
      <w:rPr>
        <w:rFonts w:ascii="Times New Roman" w:eastAsia="Times New Roman" w:hAnsi="Times New Roman" w:hint="default"/>
      </w:rPr>
    </w:lvl>
    <w:lvl w:ilvl="1" w:tplc="040C0003">
      <w:start w:val="1"/>
      <w:numFmt w:val="bullet"/>
      <w:lvlText w:val="o"/>
      <w:lvlJc w:val="left"/>
      <w:pPr>
        <w:tabs>
          <w:tab w:val="num" w:pos="2083"/>
        </w:tabs>
        <w:ind w:left="2083" w:hanging="360"/>
      </w:pPr>
      <w:rPr>
        <w:rFonts w:ascii="Courier New" w:hAnsi="Courier New" w:cs="Courier New" w:hint="default"/>
      </w:rPr>
    </w:lvl>
    <w:lvl w:ilvl="2" w:tplc="040C0005">
      <w:start w:val="1"/>
      <w:numFmt w:val="bullet"/>
      <w:lvlText w:val=""/>
      <w:lvlJc w:val="left"/>
      <w:pPr>
        <w:tabs>
          <w:tab w:val="num" w:pos="2803"/>
        </w:tabs>
        <w:ind w:left="2803" w:hanging="360"/>
      </w:pPr>
      <w:rPr>
        <w:rFonts w:ascii="Wingdings" w:hAnsi="Wingdings" w:cs="Wingdings" w:hint="default"/>
      </w:rPr>
    </w:lvl>
    <w:lvl w:ilvl="3" w:tplc="040C0001">
      <w:start w:val="1"/>
      <w:numFmt w:val="bullet"/>
      <w:lvlText w:val=""/>
      <w:lvlJc w:val="left"/>
      <w:pPr>
        <w:tabs>
          <w:tab w:val="num" w:pos="3523"/>
        </w:tabs>
        <w:ind w:left="3523" w:hanging="360"/>
      </w:pPr>
      <w:rPr>
        <w:rFonts w:ascii="Symbol" w:hAnsi="Symbol" w:cs="Symbol" w:hint="default"/>
      </w:rPr>
    </w:lvl>
    <w:lvl w:ilvl="4" w:tplc="040C0003">
      <w:start w:val="1"/>
      <w:numFmt w:val="bullet"/>
      <w:lvlText w:val="o"/>
      <w:lvlJc w:val="left"/>
      <w:pPr>
        <w:tabs>
          <w:tab w:val="num" w:pos="4243"/>
        </w:tabs>
        <w:ind w:left="4243" w:hanging="360"/>
      </w:pPr>
      <w:rPr>
        <w:rFonts w:ascii="Courier New" w:hAnsi="Courier New" w:cs="Courier New" w:hint="default"/>
      </w:rPr>
    </w:lvl>
    <w:lvl w:ilvl="5" w:tplc="040C0005">
      <w:start w:val="1"/>
      <w:numFmt w:val="bullet"/>
      <w:lvlText w:val=""/>
      <w:lvlJc w:val="left"/>
      <w:pPr>
        <w:tabs>
          <w:tab w:val="num" w:pos="4963"/>
        </w:tabs>
        <w:ind w:left="4963" w:hanging="360"/>
      </w:pPr>
      <w:rPr>
        <w:rFonts w:ascii="Wingdings" w:hAnsi="Wingdings" w:cs="Wingdings" w:hint="default"/>
      </w:rPr>
    </w:lvl>
    <w:lvl w:ilvl="6" w:tplc="040C0001">
      <w:start w:val="1"/>
      <w:numFmt w:val="bullet"/>
      <w:lvlText w:val=""/>
      <w:lvlJc w:val="left"/>
      <w:pPr>
        <w:tabs>
          <w:tab w:val="num" w:pos="5683"/>
        </w:tabs>
        <w:ind w:left="5683" w:hanging="360"/>
      </w:pPr>
      <w:rPr>
        <w:rFonts w:ascii="Symbol" w:hAnsi="Symbol" w:cs="Symbol" w:hint="default"/>
      </w:rPr>
    </w:lvl>
    <w:lvl w:ilvl="7" w:tplc="040C0003">
      <w:start w:val="1"/>
      <w:numFmt w:val="bullet"/>
      <w:lvlText w:val="o"/>
      <w:lvlJc w:val="left"/>
      <w:pPr>
        <w:tabs>
          <w:tab w:val="num" w:pos="6403"/>
        </w:tabs>
        <w:ind w:left="6403" w:hanging="360"/>
      </w:pPr>
      <w:rPr>
        <w:rFonts w:ascii="Courier New" w:hAnsi="Courier New" w:cs="Courier New" w:hint="default"/>
      </w:rPr>
    </w:lvl>
    <w:lvl w:ilvl="8" w:tplc="040C0005">
      <w:start w:val="1"/>
      <w:numFmt w:val="bullet"/>
      <w:lvlText w:val=""/>
      <w:lvlJc w:val="left"/>
      <w:pPr>
        <w:tabs>
          <w:tab w:val="num" w:pos="7123"/>
        </w:tabs>
        <w:ind w:left="7123" w:hanging="360"/>
      </w:pPr>
      <w:rPr>
        <w:rFonts w:ascii="Wingdings" w:hAnsi="Wingdings" w:cs="Wingdings" w:hint="default"/>
      </w:rPr>
    </w:lvl>
  </w:abstractNum>
  <w:abstractNum w:abstractNumId="16">
    <w:nsid w:val="321A5CD4"/>
    <w:multiLevelType w:val="multilevel"/>
    <w:tmpl w:val="E5A0CE2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A2264BC"/>
    <w:multiLevelType w:val="hybridMultilevel"/>
    <w:tmpl w:val="10364124"/>
    <w:lvl w:ilvl="0" w:tplc="040C0009">
      <w:start w:val="1"/>
      <w:numFmt w:val="bullet"/>
      <w:lvlText w:val=""/>
      <w:lvlJc w:val="left"/>
      <w:pPr>
        <w:ind w:left="720" w:hanging="360"/>
      </w:pPr>
      <w:rPr>
        <w:rFonts w:ascii="Wingdings" w:hAnsi="Wingdings" w:cs="Wingdings" w:hint="default"/>
      </w:rPr>
    </w:lvl>
    <w:lvl w:ilvl="1" w:tplc="00000000">
      <w:numFmt w:val="bullet"/>
      <w:lvlText w:val="-"/>
      <w:lvlJc w:val="left"/>
      <w:pPr>
        <w:ind w:left="1440" w:hanging="360"/>
      </w:pPr>
      <w:rPr>
        <w:rFonts w:ascii="Times New Roman" w:hAnsi="Times New Roman" w:cs="Times New Roman"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8">
    <w:nsid w:val="3CA37DBC"/>
    <w:multiLevelType w:val="hybridMultilevel"/>
    <w:tmpl w:val="A5E8571E"/>
    <w:lvl w:ilvl="0" w:tplc="9FCE4D4A">
      <w:start w:val="80"/>
      <w:numFmt w:val="bullet"/>
      <w:lvlText w:val=""/>
      <w:lvlJc w:val="left"/>
      <w:pPr>
        <w:ind w:left="720" w:hanging="360"/>
      </w:pPr>
      <w:rPr>
        <w:rFonts w:ascii="Wingdings" w:eastAsia="Times New Roman"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nsid w:val="3EAA5156"/>
    <w:multiLevelType w:val="hybridMultilevel"/>
    <w:tmpl w:val="2EBC4560"/>
    <w:lvl w:ilvl="0" w:tplc="00000000">
      <w:numFmt w:val="bullet"/>
      <w:lvlText w:val="-"/>
      <w:lvlJc w:val="left"/>
      <w:pPr>
        <w:ind w:left="1080" w:hanging="360"/>
      </w:pPr>
      <w:rPr>
        <w:rFonts w:ascii="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20">
    <w:nsid w:val="42160D13"/>
    <w:multiLevelType w:val="hybridMultilevel"/>
    <w:tmpl w:val="98E27E3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1">
    <w:nsid w:val="43B07623"/>
    <w:multiLevelType w:val="hybridMultilevel"/>
    <w:tmpl w:val="CDEA247C"/>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2">
    <w:nsid w:val="48C439CF"/>
    <w:multiLevelType w:val="hybridMultilevel"/>
    <w:tmpl w:val="B194ECCE"/>
    <w:lvl w:ilvl="0" w:tplc="0CBE4E9E">
      <w:numFmt w:val="bullet"/>
      <w:lvlText w:val="-"/>
      <w:lvlJc w:val="left"/>
      <w:pPr>
        <w:tabs>
          <w:tab w:val="num" w:pos="1429"/>
        </w:tabs>
        <w:ind w:left="1429" w:hanging="360"/>
      </w:pPr>
      <w:rPr>
        <w:rFonts w:ascii="Arial Narrow" w:eastAsia="Times New Roman" w:hAnsi="Arial Narrow" w:hint="default"/>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start w:val="1"/>
      <w:numFmt w:val="bullet"/>
      <w:lvlText w:val=""/>
      <w:lvlJc w:val="left"/>
      <w:pPr>
        <w:tabs>
          <w:tab w:val="num" w:pos="2869"/>
        </w:tabs>
        <w:ind w:left="2869" w:hanging="360"/>
      </w:pPr>
      <w:rPr>
        <w:rFonts w:ascii="Wingdings" w:hAnsi="Wingdings" w:cs="Wingdings" w:hint="default"/>
      </w:rPr>
    </w:lvl>
    <w:lvl w:ilvl="3" w:tplc="040C0001">
      <w:start w:val="1"/>
      <w:numFmt w:val="bullet"/>
      <w:lvlText w:val=""/>
      <w:lvlJc w:val="left"/>
      <w:pPr>
        <w:tabs>
          <w:tab w:val="num" w:pos="3589"/>
        </w:tabs>
        <w:ind w:left="3589" w:hanging="360"/>
      </w:pPr>
      <w:rPr>
        <w:rFonts w:ascii="Symbol" w:hAnsi="Symbol" w:cs="Symbol" w:hint="default"/>
      </w:rPr>
    </w:lvl>
    <w:lvl w:ilvl="4" w:tplc="040C0003">
      <w:start w:val="1"/>
      <w:numFmt w:val="bullet"/>
      <w:lvlText w:val="o"/>
      <w:lvlJc w:val="left"/>
      <w:pPr>
        <w:tabs>
          <w:tab w:val="num" w:pos="4309"/>
        </w:tabs>
        <w:ind w:left="4309" w:hanging="360"/>
      </w:pPr>
      <w:rPr>
        <w:rFonts w:ascii="Courier New" w:hAnsi="Courier New" w:cs="Courier New" w:hint="default"/>
      </w:rPr>
    </w:lvl>
    <w:lvl w:ilvl="5" w:tplc="040C0005">
      <w:start w:val="1"/>
      <w:numFmt w:val="bullet"/>
      <w:lvlText w:val=""/>
      <w:lvlJc w:val="left"/>
      <w:pPr>
        <w:tabs>
          <w:tab w:val="num" w:pos="5029"/>
        </w:tabs>
        <w:ind w:left="5029" w:hanging="360"/>
      </w:pPr>
      <w:rPr>
        <w:rFonts w:ascii="Wingdings" w:hAnsi="Wingdings" w:cs="Wingdings" w:hint="default"/>
      </w:rPr>
    </w:lvl>
    <w:lvl w:ilvl="6" w:tplc="040C0001">
      <w:start w:val="1"/>
      <w:numFmt w:val="bullet"/>
      <w:lvlText w:val=""/>
      <w:lvlJc w:val="left"/>
      <w:pPr>
        <w:tabs>
          <w:tab w:val="num" w:pos="5749"/>
        </w:tabs>
        <w:ind w:left="5749" w:hanging="360"/>
      </w:pPr>
      <w:rPr>
        <w:rFonts w:ascii="Symbol" w:hAnsi="Symbol" w:cs="Symbol" w:hint="default"/>
      </w:rPr>
    </w:lvl>
    <w:lvl w:ilvl="7" w:tplc="040C0003">
      <w:start w:val="1"/>
      <w:numFmt w:val="bullet"/>
      <w:lvlText w:val="o"/>
      <w:lvlJc w:val="left"/>
      <w:pPr>
        <w:tabs>
          <w:tab w:val="num" w:pos="6469"/>
        </w:tabs>
        <w:ind w:left="6469" w:hanging="360"/>
      </w:pPr>
      <w:rPr>
        <w:rFonts w:ascii="Courier New" w:hAnsi="Courier New" w:cs="Courier New" w:hint="default"/>
      </w:rPr>
    </w:lvl>
    <w:lvl w:ilvl="8" w:tplc="040C0005">
      <w:start w:val="1"/>
      <w:numFmt w:val="bullet"/>
      <w:lvlText w:val=""/>
      <w:lvlJc w:val="left"/>
      <w:pPr>
        <w:tabs>
          <w:tab w:val="num" w:pos="7189"/>
        </w:tabs>
        <w:ind w:left="7189" w:hanging="360"/>
      </w:pPr>
      <w:rPr>
        <w:rFonts w:ascii="Wingdings" w:hAnsi="Wingdings" w:cs="Wingdings" w:hint="default"/>
      </w:rPr>
    </w:lvl>
  </w:abstractNum>
  <w:abstractNum w:abstractNumId="23">
    <w:nsid w:val="48F803F0"/>
    <w:multiLevelType w:val="hybridMultilevel"/>
    <w:tmpl w:val="84D6A000"/>
    <w:lvl w:ilvl="0" w:tplc="930CB4C8">
      <w:start w:val="1"/>
      <w:numFmt w:val="bullet"/>
      <w:lvlText w:val=""/>
      <w:lvlJc w:val="left"/>
      <w:pPr>
        <w:ind w:left="720" w:hanging="360"/>
      </w:pPr>
      <w:rPr>
        <w:rFonts w:ascii="Wingdings" w:hAnsi="Wingdings" w:cs="Wingdings" w:hint="default"/>
        <w:sz w:val="32"/>
        <w:szCs w:val="3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4">
    <w:nsid w:val="4E4F046F"/>
    <w:multiLevelType w:val="hybridMultilevel"/>
    <w:tmpl w:val="A8183414"/>
    <w:lvl w:ilvl="0" w:tplc="9FCE4D4A">
      <w:start w:val="80"/>
      <w:numFmt w:val="bullet"/>
      <w:lvlText w:val=""/>
      <w:lvlJc w:val="left"/>
      <w:pPr>
        <w:ind w:left="780" w:hanging="360"/>
      </w:pPr>
      <w:rPr>
        <w:rFonts w:ascii="Wingdings" w:eastAsia="Times New Roman" w:hAnsi="Wingdings"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cs="Wingdings" w:hint="default"/>
      </w:rPr>
    </w:lvl>
    <w:lvl w:ilvl="3" w:tplc="040C0001">
      <w:start w:val="1"/>
      <w:numFmt w:val="bullet"/>
      <w:lvlText w:val=""/>
      <w:lvlJc w:val="left"/>
      <w:pPr>
        <w:ind w:left="2940" w:hanging="360"/>
      </w:pPr>
      <w:rPr>
        <w:rFonts w:ascii="Symbol" w:hAnsi="Symbol" w:cs="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cs="Wingdings" w:hint="default"/>
      </w:rPr>
    </w:lvl>
    <w:lvl w:ilvl="6" w:tplc="040C0001">
      <w:start w:val="1"/>
      <w:numFmt w:val="bullet"/>
      <w:lvlText w:val=""/>
      <w:lvlJc w:val="left"/>
      <w:pPr>
        <w:ind w:left="5100" w:hanging="360"/>
      </w:pPr>
      <w:rPr>
        <w:rFonts w:ascii="Symbol" w:hAnsi="Symbol" w:cs="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cs="Wingdings" w:hint="default"/>
      </w:rPr>
    </w:lvl>
  </w:abstractNum>
  <w:abstractNum w:abstractNumId="25">
    <w:nsid w:val="4EA37DBE"/>
    <w:multiLevelType w:val="hybridMultilevel"/>
    <w:tmpl w:val="FB1C15A4"/>
    <w:lvl w:ilvl="0" w:tplc="99C6D7CA">
      <w:start w:val="80"/>
      <w:numFmt w:val="bullet"/>
      <w:lvlText w:val=""/>
      <w:lvlJc w:val="left"/>
      <w:pPr>
        <w:ind w:left="720" w:hanging="360"/>
      </w:pPr>
      <w:rPr>
        <w:rFonts w:ascii="Wingdings" w:eastAsia="Times New Roman"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6">
    <w:nsid w:val="4FD72C78"/>
    <w:multiLevelType w:val="hybridMultilevel"/>
    <w:tmpl w:val="641AD06A"/>
    <w:lvl w:ilvl="0" w:tplc="00000000">
      <w:numFmt w:val="bullet"/>
      <w:lvlText w:val="-"/>
      <w:lvlJc w:val="left"/>
      <w:pPr>
        <w:ind w:left="1080" w:hanging="360"/>
      </w:pPr>
      <w:rPr>
        <w:rFonts w:ascii="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27">
    <w:nsid w:val="501C0A52"/>
    <w:multiLevelType w:val="hybridMultilevel"/>
    <w:tmpl w:val="4D0AEDC2"/>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8">
    <w:nsid w:val="505E6EF7"/>
    <w:multiLevelType w:val="multilevel"/>
    <w:tmpl w:val="96E0938A"/>
    <w:lvl w:ilvl="0">
      <w:start w:val="1"/>
      <w:numFmt w:val="decimal"/>
      <w:lvlText w:val="%1"/>
      <w:lvlJc w:val="left"/>
      <w:pPr>
        <w:tabs>
          <w:tab w:val="num" w:pos="450"/>
        </w:tabs>
        <w:ind w:left="450" w:hanging="450"/>
      </w:pPr>
      <w:rPr>
        <w:rFonts w:hint="default"/>
      </w:rPr>
    </w:lvl>
    <w:lvl w:ilvl="1">
      <w:start w:val="3"/>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56D91977"/>
    <w:multiLevelType w:val="hybridMultilevel"/>
    <w:tmpl w:val="2E6AE784"/>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0">
    <w:nsid w:val="5AC5747D"/>
    <w:multiLevelType w:val="multilevel"/>
    <w:tmpl w:val="94DAEFD4"/>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5B367C37"/>
    <w:multiLevelType w:val="hybridMultilevel"/>
    <w:tmpl w:val="47448E20"/>
    <w:lvl w:ilvl="0" w:tplc="00000000">
      <w:numFmt w:val="bullet"/>
      <w:lvlText w:val="-"/>
      <w:lvlJc w:val="left"/>
      <w:pPr>
        <w:ind w:left="1080" w:hanging="360"/>
      </w:pPr>
      <w:rPr>
        <w:rFonts w:ascii="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32">
    <w:nsid w:val="5C4B77AA"/>
    <w:multiLevelType w:val="hybridMultilevel"/>
    <w:tmpl w:val="AE5EC582"/>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3">
    <w:nsid w:val="5E437342"/>
    <w:multiLevelType w:val="hybridMultilevel"/>
    <w:tmpl w:val="71043124"/>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4">
    <w:nsid w:val="66470334"/>
    <w:multiLevelType w:val="hybridMultilevel"/>
    <w:tmpl w:val="3C56FBC0"/>
    <w:lvl w:ilvl="0" w:tplc="040C0009">
      <w:start w:val="1"/>
      <w:numFmt w:val="bullet"/>
      <w:lvlText w:val=""/>
      <w:lvlJc w:val="left"/>
      <w:pPr>
        <w:ind w:left="1425" w:hanging="360"/>
      </w:pPr>
      <w:rPr>
        <w:rFonts w:ascii="Wingdings" w:hAnsi="Wingdings" w:cs="Wingdings" w:hint="default"/>
      </w:rPr>
    </w:lvl>
    <w:lvl w:ilvl="1" w:tplc="040C0003">
      <w:start w:val="1"/>
      <w:numFmt w:val="bullet"/>
      <w:lvlText w:val="o"/>
      <w:lvlJc w:val="left"/>
      <w:pPr>
        <w:ind w:left="2145" w:hanging="360"/>
      </w:pPr>
      <w:rPr>
        <w:rFonts w:ascii="Courier New" w:hAnsi="Courier New" w:cs="Courier New" w:hint="default"/>
      </w:rPr>
    </w:lvl>
    <w:lvl w:ilvl="2" w:tplc="040C0005">
      <w:start w:val="1"/>
      <w:numFmt w:val="bullet"/>
      <w:lvlText w:val=""/>
      <w:lvlJc w:val="left"/>
      <w:pPr>
        <w:ind w:left="2865" w:hanging="360"/>
      </w:pPr>
      <w:rPr>
        <w:rFonts w:ascii="Wingdings" w:hAnsi="Wingdings" w:cs="Wingdings" w:hint="default"/>
      </w:rPr>
    </w:lvl>
    <w:lvl w:ilvl="3" w:tplc="040C0001">
      <w:start w:val="1"/>
      <w:numFmt w:val="bullet"/>
      <w:lvlText w:val=""/>
      <w:lvlJc w:val="left"/>
      <w:pPr>
        <w:ind w:left="3585" w:hanging="360"/>
      </w:pPr>
      <w:rPr>
        <w:rFonts w:ascii="Symbol" w:hAnsi="Symbol" w:cs="Symbol" w:hint="default"/>
      </w:rPr>
    </w:lvl>
    <w:lvl w:ilvl="4" w:tplc="040C0003">
      <w:start w:val="1"/>
      <w:numFmt w:val="bullet"/>
      <w:lvlText w:val="o"/>
      <w:lvlJc w:val="left"/>
      <w:pPr>
        <w:ind w:left="4305" w:hanging="360"/>
      </w:pPr>
      <w:rPr>
        <w:rFonts w:ascii="Courier New" w:hAnsi="Courier New" w:cs="Courier New" w:hint="default"/>
      </w:rPr>
    </w:lvl>
    <w:lvl w:ilvl="5" w:tplc="040C0005">
      <w:start w:val="1"/>
      <w:numFmt w:val="bullet"/>
      <w:lvlText w:val=""/>
      <w:lvlJc w:val="left"/>
      <w:pPr>
        <w:ind w:left="5025" w:hanging="360"/>
      </w:pPr>
      <w:rPr>
        <w:rFonts w:ascii="Wingdings" w:hAnsi="Wingdings" w:cs="Wingdings" w:hint="default"/>
      </w:rPr>
    </w:lvl>
    <w:lvl w:ilvl="6" w:tplc="040C0001">
      <w:start w:val="1"/>
      <w:numFmt w:val="bullet"/>
      <w:lvlText w:val=""/>
      <w:lvlJc w:val="left"/>
      <w:pPr>
        <w:ind w:left="5745" w:hanging="360"/>
      </w:pPr>
      <w:rPr>
        <w:rFonts w:ascii="Symbol" w:hAnsi="Symbol" w:cs="Symbol" w:hint="default"/>
      </w:rPr>
    </w:lvl>
    <w:lvl w:ilvl="7" w:tplc="040C0003">
      <w:start w:val="1"/>
      <w:numFmt w:val="bullet"/>
      <w:lvlText w:val="o"/>
      <w:lvlJc w:val="left"/>
      <w:pPr>
        <w:ind w:left="6465" w:hanging="360"/>
      </w:pPr>
      <w:rPr>
        <w:rFonts w:ascii="Courier New" w:hAnsi="Courier New" w:cs="Courier New" w:hint="default"/>
      </w:rPr>
    </w:lvl>
    <w:lvl w:ilvl="8" w:tplc="040C0005">
      <w:start w:val="1"/>
      <w:numFmt w:val="bullet"/>
      <w:lvlText w:val=""/>
      <w:lvlJc w:val="left"/>
      <w:pPr>
        <w:ind w:left="7185" w:hanging="360"/>
      </w:pPr>
      <w:rPr>
        <w:rFonts w:ascii="Wingdings" w:hAnsi="Wingdings" w:cs="Wingdings" w:hint="default"/>
      </w:rPr>
    </w:lvl>
  </w:abstractNum>
  <w:abstractNum w:abstractNumId="35">
    <w:nsid w:val="664F3BBF"/>
    <w:multiLevelType w:val="hybridMultilevel"/>
    <w:tmpl w:val="6644B508"/>
    <w:lvl w:ilvl="0" w:tplc="040C0009">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6">
    <w:nsid w:val="674352FA"/>
    <w:multiLevelType w:val="hybridMultilevel"/>
    <w:tmpl w:val="2334E4F8"/>
    <w:lvl w:ilvl="0" w:tplc="8A74F85A">
      <w:start w:val="100"/>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7">
    <w:nsid w:val="67B01BCA"/>
    <w:multiLevelType w:val="hybridMultilevel"/>
    <w:tmpl w:val="A2C6F1DC"/>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8">
    <w:nsid w:val="69B471CC"/>
    <w:multiLevelType w:val="hybridMultilevel"/>
    <w:tmpl w:val="E9A87E2E"/>
    <w:lvl w:ilvl="0" w:tplc="040C000B">
      <w:start w:val="1"/>
      <w:numFmt w:val="bullet"/>
      <w:lvlText w:val=""/>
      <w:lvlJc w:val="left"/>
      <w:pPr>
        <w:ind w:left="765" w:hanging="360"/>
      </w:pPr>
      <w:rPr>
        <w:rFonts w:ascii="Wingdings" w:hAnsi="Wingdings" w:cs="Wingdings" w:hint="default"/>
      </w:rPr>
    </w:lvl>
    <w:lvl w:ilvl="1" w:tplc="040C0003">
      <w:start w:val="1"/>
      <w:numFmt w:val="bullet"/>
      <w:lvlText w:val="o"/>
      <w:lvlJc w:val="left"/>
      <w:pPr>
        <w:ind w:left="1485" w:hanging="360"/>
      </w:pPr>
      <w:rPr>
        <w:rFonts w:ascii="Courier New" w:hAnsi="Courier New" w:cs="Courier New" w:hint="default"/>
      </w:rPr>
    </w:lvl>
    <w:lvl w:ilvl="2" w:tplc="040C0005">
      <w:start w:val="1"/>
      <w:numFmt w:val="bullet"/>
      <w:lvlText w:val=""/>
      <w:lvlJc w:val="left"/>
      <w:pPr>
        <w:ind w:left="2205" w:hanging="360"/>
      </w:pPr>
      <w:rPr>
        <w:rFonts w:ascii="Wingdings" w:hAnsi="Wingdings" w:cs="Wingdings" w:hint="default"/>
      </w:rPr>
    </w:lvl>
    <w:lvl w:ilvl="3" w:tplc="040C0001">
      <w:start w:val="1"/>
      <w:numFmt w:val="bullet"/>
      <w:lvlText w:val=""/>
      <w:lvlJc w:val="left"/>
      <w:pPr>
        <w:ind w:left="2925" w:hanging="360"/>
      </w:pPr>
      <w:rPr>
        <w:rFonts w:ascii="Symbol" w:hAnsi="Symbol" w:cs="Symbol" w:hint="default"/>
      </w:rPr>
    </w:lvl>
    <w:lvl w:ilvl="4" w:tplc="040C0003">
      <w:start w:val="1"/>
      <w:numFmt w:val="bullet"/>
      <w:lvlText w:val="o"/>
      <w:lvlJc w:val="left"/>
      <w:pPr>
        <w:ind w:left="3645" w:hanging="360"/>
      </w:pPr>
      <w:rPr>
        <w:rFonts w:ascii="Courier New" w:hAnsi="Courier New" w:cs="Courier New" w:hint="default"/>
      </w:rPr>
    </w:lvl>
    <w:lvl w:ilvl="5" w:tplc="040C0005">
      <w:start w:val="1"/>
      <w:numFmt w:val="bullet"/>
      <w:lvlText w:val=""/>
      <w:lvlJc w:val="left"/>
      <w:pPr>
        <w:ind w:left="4365" w:hanging="360"/>
      </w:pPr>
      <w:rPr>
        <w:rFonts w:ascii="Wingdings" w:hAnsi="Wingdings" w:cs="Wingdings" w:hint="default"/>
      </w:rPr>
    </w:lvl>
    <w:lvl w:ilvl="6" w:tplc="040C0001">
      <w:start w:val="1"/>
      <w:numFmt w:val="bullet"/>
      <w:lvlText w:val=""/>
      <w:lvlJc w:val="left"/>
      <w:pPr>
        <w:ind w:left="5085" w:hanging="360"/>
      </w:pPr>
      <w:rPr>
        <w:rFonts w:ascii="Symbol" w:hAnsi="Symbol" w:cs="Symbol" w:hint="default"/>
      </w:rPr>
    </w:lvl>
    <w:lvl w:ilvl="7" w:tplc="040C0003">
      <w:start w:val="1"/>
      <w:numFmt w:val="bullet"/>
      <w:lvlText w:val="o"/>
      <w:lvlJc w:val="left"/>
      <w:pPr>
        <w:ind w:left="5805" w:hanging="360"/>
      </w:pPr>
      <w:rPr>
        <w:rFonts w:ascii="Courier New" w:hAnsi="Courier New" w:cs="Courier New" w:hint="default"/>
      </w:rPr>
    </w:lvl>
    <w:lvl w:ilvl="8" w:tplc="040C0005">
      <w:start w:val="1"/>
      <w:numFmt w:val="bullet"/>
      <w:lvlText w:val=""/>
      <w:lvlJc w:val="left"/>
      <w:pPr>
        <w:ind w:left="6525" w:hanging="360"/>
      </w:pPr>
      <w:rPr>
        <w:rFonts w:ascii="Wingdings" w:hAnsi="Wingdings" w:cs="Wingdings" w:hint="default"/>
      </w:rPr>
    </w:lvl>
  </w:abstractNum>
  <w:abstractNum w:abstractNumId="39">
    <w:nsid w:val="6B6D701B"/>
    <w:multiLevelType w:val="hybridMultilevel"/>
    <w:tmpl w:val="8616724A"/>
    <w:lvl w:ilvl="0" w:tplc="040C000B">
      <w:start w:val="1"/>
      <w:numFmt w:val="bullet"/>
      <w:lvlText w:val=""/>
      <w:lvlJc w:val="left"/>
      <w:pPr>
        <w:ind w:left="1440" w:hanging="360"/>
      </w:pPr>
      <w:rPr>
        <w:rFonts w:ascii="Wingdings" w:hAnsi="Wingdings" w:cs="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40">
    <w:nsid w:val="79DC2D0B"/>
    <w:multiLevelType w:val="hybridMultilevel"/>
    <w:tmpl w:val="870E9F58"/>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41">
    <w:nsid w:val="7C6046FA"/>
    <w:multiLevelType w:val="multilevel"/>
    <w:tmpl w:val="579C52CA"/>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800" w:hanging="1800"/>
      </w:pPr>
      <w:rPr>
        <w:rFonts w:hint="default"/>
        <w:b/>
        <w:bCs/>
      </w:rPr>
    </w:lvl>
    <w:lvl w:ilvl="8">
      <w:start w:val="1"/>
      <w:numFmt w:val="decimal"/>
      <w:lvlText w:val="%1-%2.%3.%4.%5.%6.%7.%8.%9"/>
      <w:lvlJc w:val="left"/>
      <w:pPr>
        <w:ind w:left="1800" w:hanging="1800"/>
      </w:pPr>
      <w:rPr>
        <w:rFonts w:hint="default"/>
        <w:b/>
        <w:bCs/>
      </w:rPr>
    </w:lvl>
  </w:abstractNum>
  <w:num w:numId="1">
    <w:abstractNumId w:val="30"/>
  </w:num>
  <w:num w:numId="2">
    <w:abstractNumId w:val="30"/>
  </w:num>
  <w:num w:numId="3">
    <w:abstractNumId w:val="30"/>
  </w:num>
  <w:num w:numId="4">
    <w:abstractNumId w:val="30"/>
  </w:num>
  <w:num w:numId="5">
    <w:abstractNumId w:val="30"/>
  </w:num>
  <w:num w:numId="6">
    <w:abstractNumId w:val="9"/>
  </w:num>
  <w:num w:numId="7">
    <w:abstractNumId w:val="40"/>
  </w:num>
  <w:num w:numId="8">
    <w:abstractNumId w:val="28"/>
  </w:num>
  <w:num w:numId="9">
    <w:abstractNumId w:val="16"/>
  </w:num>
  <w:num w:numId="10">
    <w:abstractNumId w:val="22"/>
  </w:num>
  <w:num w:numId="11">
    <w:abstractNumId w:val="15"/>
  </w:num>
  <w:num w:numId="12">
    <w:abstractNumId w:val="20"/>
  </w:num>
  <w:num w:numId="13">
    <w:abstractNumId w:val="27"/>
  </w:num>
  <w:num w:numId="14">
    <w:abstractNumId w:val="32"/>
  </w:num>
  <w:num w:numId="15">
    <w:abstractNumId w:val="10"/>
  </w:num>
  <w:num w:numId="16">
    <w:abstractNumId w:val="11"/>
  </w:num>
  <w:num w:numId="17">
    <w:abstractNumId w:val="29"/>
  </w:num>
  <w:num w:numId="18">
    <w:abstractNumId w:val="36"/>
  </w:num>
  <w:num w:numId="19">
    <w:abstractNumId w:val="25"/>
  </w:num>
  <w:num w:numId="20">
    <w:abstractNumId w:val="18"/>
  </w:num>
  <w:num w:numId="21">
    <w:abstractNumId w:val="24"/>
  </w:num>
  <w:num w:numId="22">
    <w:abstractNumId w:val="8"/>
  </w:num>
  <w:num w:numId="23">
    <w:abstractNumId w:val="2"/>
  </w:num>
  <w:num w:numId="24">
    <w:abstractNumId w:val="38"/>
  </w:num>
  <w:num w:numId="25">
    <w:abstractNumId w:val="17"/>
  </w:num>
  <w:num w:numId="26">
    <w:abstractNumId w:val="4"/>
  </w:num>
  <w:num w:numId="27">
    <w:abstractNumId w:val="19"/>
  </w:num>
  <w:num w:numId="28">
    <w:abstractNumId w:val="12"/>
  </w:num>
  <w:num w:numId="29">
    <w:abstractNumId w:val="31"/>
  </w:num>
  <w:num w:numId="30">
    <w:abstractNumId w:val="13"/>
  </w:num>
  <w:num w:numId="31">
    <w:abstractNumId w:val="0"/>
  </w:num>
  <w:num w:numId="32">
    <w:abstractNumId w:val="26"/>
  </w:num>
  <w:num w:numId="33">
    <w:abstractNumId w:val="7"/>
  </w:num>
  <w:num w:numId="34">
    <w:abstractNumId w:val="34"/>
  </w:num>
  <w:num w:numId="35">
    <w:abstractNumId w:val="35"/>
  </w:num>
  <w:num w:numId="36">
    <w:abstractNumId w:val="5"/>
  </w:num>
  <w:num w:numId="37">
    <w:abstractNumId w:val="21"/>
  </w:num>
  <w:num w:numId="38">
    <w:abstractNumId w:val="33"/>
  </w:num>
  <w:num w:numId="39">
    <w:abstractNumId w:val="37"/>
  </w:num>
  <w:num w:numId="40">
    <w:abstractNumId w:val="1"/>
  </w:num>
  <w:num w:numId="41">
    <w:abstractNumId w:val="14"/>
  </w:num>
  <w:num w:numId="42">
    <w:abstractNumId w:val="23"/>
  </w:num>
  <w:num w:numId="43">
    <w:abstractNumId w:val="39"/>
  </w:num>
  <w:num w:numId="44">
    <w:abstractNumId w:val="6"/>
  </w:num>
  <w:num w:numId="45">
    <w:abstractNumId w:val="41"/>
  </w:num>
  <w:num w:numId="4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rsids>
    <w:rsidRoot w:val="003E0564"/>
    <w:rsid w:val="0026379A"/>
    <w:rsid w:val="003E0564"/>
    <w:rsid w:val="00EB54A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fr-FR" w:eastAsia="fr-F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0564"/>
    <w:rPr>
      <w:rFonts w:ascii="Times New Roman" w:eastAsia="Times New Roman" w:hAnsi="Times New Roman"/>
      <w:sz w:val="24"/>
      <w:szCs w:val="24"/>
    </w:rPr>
  </w:style>
  <w:style w:type="paragraph" w:styleId="Titre1">
    <w:name w:val="heading 1"/>
    <w:basedOn w:val="Normal"/>
    <w:next w:val="Normal"/>
    <w:link w:val="Titre1Car"/>
    <w:uiPriority w:val="99"/>
    <w:qFormat/>
    <w:rsid w:val="003E0564"/>
    <w:pPr>
      <w:numPr>
        <w:numId w:val="5"/>
      </w:numPr>
      <w:pBdr>
        <w:top w:val="single" w:sz="6" w:space="2" w:color="auto"/>
        <w:left w:val="single" w:sz="6" w:space="4" w:color="auto"/>
        <w:bottom w:val="single" w:sz="6" w:space="2" w:color="auto"/>
        <w:right w:val="single" w:sz="6" w:space="4" w:color="auto"/>
      </w:pBdr>
      <w:spacing w:before="240" w:after="240"/>
      <w:outlineLvl w:val="0"/>
    </w:pPr>
    <w:rPr>
      <w:b/>
      <w:bCs/>
      <w:caps/>
    </w:rPr>
  </w:style>
  <w:style w:type="paragraph" w:styleId="Titre2">
    <w:name w:val="heading 2"/>
    <w:basedOn w:val="Normal"/>
    <w:next w:val="Normal"/>
    <w:link w:val="Titre2Car"/>
    <w:uiPriority w:val="99"/>
    <w:qFormat/>
    <w:rsid w:val="003E0564"/>
    <w:pPr>
      <w:keepLines/>
      <w:numPr>
        <w:ilvl w:val="1"/>
        <w:numId w:val="5"/>
      </w:numPr>
      <w:spacing w:before="240"/>
      <w:outlineLvl w:val="1"/>
    </w:pPr>
    <w:rPr>
      <w:b/>
      <w:bCs/>
    </w:rPr>
  </w:style>
  <w:style w:type="paragraph" w:styleId="Titre3">
    <w:name w:val="heading 3"/>
    <w:basedOn w:val="Normal"/>
    <w:next w:val="Normal"/>
    <w:link w:val="Titre3Car"/>
    <w:uiPriority w:val="99"/>
    <w:qFormat/>
    <w:rsid w:val="003E0564"/>
    <w:pPr>
      <w:keepLines/>
      <w:numPr>
        <w:ilvl w:val="2"/>
        <w:numId w:val="5"/>
      </w:numPr>
      <w:spacing w:before="240"/>
      <w:outlineLvl w:val="2"/>
    </w:pPr>
    <w:rPr>
      <w:b/>
      <w:bCs/>
      <w:i/>
      <w:iCs/>
    </w:rPr>
  </w:style>
  <w:style w:type="paragraph" w:styleId="Titre4">
    <w:name w:val="heading 4"/>
    <w:basedOn w:val="Normal"/>
    <w:next w:val="Normal"/>
    <w:link w:val="Titre4Car"/>
    <w:uiPriority w:val="99"/>
    <w:qFormat/>
    <w:rsid w:val="003E0564"/>
    <w:pPr>
      <w:keepLines/>
      <w:numPr>
        <w:ilvl w:val="3"/>
        <w:numId w:val="5"/>
      </w:numPr>
      <w:spacing w:after="120"/>
      <w:outlineLvl w:val="3"/>
    </w:pPr>
    <w:rPr>
      <w:b/>
      <w:bCs/>
      <w:u w:val="single"/>
    </w:rPr>
  </w:style>
  <w:style w:type="paragraph" w:styleId="Titre5">
    <w:name w:val="heading 5"/>
    <w:basedOn w:val="Normal"/>
    <w:next w:val="Normal"/>
    <w:link w:val="Titre5Car"/>
    <w:uiPriority w:val="99"/>
    <w:qFormat/>
    <w:rsid w:val="003E0564"/>
    <w:pPr>
      <w:keepLines/>
      <w:numPr>
        <w:ilvl w:val="4"/>
        <w:numId w:val="5"/>
      </w:numPr>
      <w:spacing w:before="240" w:after="60"/>
      <w:outlineLvl w:val="4"/>
    </w:pPr>
    <w:rPr>
      <w:sz w:val="22"/>
      <w:szCs w:val="22"/>
    </w:rPr>
  </w:style>
  <w:style w:type="paragraph" w:styleId="Titre8">
    <w:name w:val="heading 8"/>
    <w:basedOn w:val="Normal"/>
    <w:next w:val="Normal"/>
    <w:link w:val="Titre8Car"/>
    <w:uiPriority w:val="99"/>
    <w:qFormat/>
    <w:rsid w:val="003E0564"/>
    <w:pPr>
      <w:keepNext/>
      <w:jc w:val="center"/>
      <w:outlineLvl w:val="7"/>
    </w:pPr>
    <w:rPr>
      <w:rFonts w:ascii="Dutch" w:hAnsi="Dutch" w:cs="Dutch"/>
      <w:b/>
      <w:bCs/>
      <w:sz w:val="26"/>
      <w:szCs w:val="26"/>
    </w:rPr>
  </w:style>
  <w:style w:type="paragraph" w:styleId="Titre9">
    <w:name w:val="heading 9"/>
    <w:basedOn w:val="Normal"/>
    <w:next w:val="Normal"/>
    <w:link w:val="Titre9Car"/>
    <w:uiPriority w:val="99"/>
    <w:qFormat/>
    <w:rsid w:val="003E0564"/>
    <w:pPr>
      <w:keepNext/>
      <w:jc w:val="center"/>
      <w:outlineLvl w:val="8"/>
    </w:pPr>
    <w:rPr>
      <w:rFonts w:ascii="Dutch" w:hAnsi="Dutch" w:cs="Dutch"/>
      <w:b/>
      <w:bCs/>
      <w:i/>
      <w:iCs/>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3E0564"/>
    <w:rPr>
      <w:rFonts w:eastAsia="Times New Roman"/>
      <w:b/>
      <w:bCs/>
      <w:caps/>
      <w:sz w:val="24"/>
      <w:szCs w:val="24"/>
      <w:lang w:eastAsia="fr-FR"/>
    </w:rPr>
  </w:style>
  <w:style w:type="character" w:customStyle="1" w:styleId="Titre2Car">
    <w:name w:val="Titre 2 Car"/>
    <w:link w:val="Titre2"/>
    <w:uiPriority w:val="99"/>
    <w:locked/>
    <w:rsid w:val="003E0564"/>
    <w:rPr>
      <w:rFonts w:eastAsia="Times New Roman"/>
      <w:b/>
      <w:bCs/>
      <w:sz w:val="24"/>
      <w:szCs w:val="24"/>
      <w:lang w:eastAsia="fr-FR"/>
    </w:rPr>
  </w:style>
  <w:style w:type="character" w:customStyle="1" w:styleId="Titre3Car">
    <w:name w:val="Titre 3 Car"/>
    <w:link w:val="Titre3"/>
    <w:uiPriority w:val="99"/>
    <w:locked/>
    <w:rsid w:val="003E0564"/>
    <w:rPr>
      <w:rFonts w:eastAsia="Times New Roman"/>
      <w:b/>
      <w:bCs/>
      <w:i/>
      <w:iCs/>
      <w:sz w:val="24"/>
      <w:szCs w:val="24"/>
      <w:lang w:eastAsia="fr-FR"/>
    </w:rPr>
  </w:style>
  <w:style w:type="character" w:customStyle="1" w:styleId="Titre4Car">
    <w:name w:val="Titre 4 Car"/>
    <w:link w:val="Titre4"/>
    <w:uiPriority w:val="99"/>
    <w:locked/>
    <w:rsid w:val="003E0564"/>
    <w:rPr>
      <w:rFonts w:eastAsia="Times New Roman"/>
      <w:b/>
      <w:bCs/>
      <w:sz w:val="20"/>
      <w:szCs w:val="20"/>
      <w:u w:val="single"/>
      <w:lang w:eastAsia="fr-FR"/>
    </w:rPr>
  </w:style>
  <w:style w:type="character" w:customStyle="1" w:styleId="Titre5Car">
    <w:name w:val="Titre 5 Car"/>
    <w:link w:val="Titre5"/>
    <w:uiPriority w:val="99"/>
    <w:locked/>
    <w:rsid w:val="003E0564"/>
    <w:rPr>
      <w:rFonts w:eastAsia="Times New Roman"/>
      <w:sz w:val="22"/>
      <w:szCs w:val="22"/>
      <w:lang w:eastAsia="fr-FR"/>
    </w:rPr>
  </w:style>
  <w:style w:type="character" w:customStyle="1" w:styleId="Titre8Car">
    <w:name w:val="Titre 8 Car"/>
    <w:link w:val="Titre8"/>
    <w:uiPriority w:val="99"/>
    <w:locked/>
    <w:rsid w:val="003E0564"/>
    <w:rPr>
      <w:rFonts w:ascii="Dutch" w:hAnsi="Dutch" w:cs="Dutch"/>
      <w:b/>
      <w:bCs/>
      <w:sz w:val="20"/>
      <w:szCs w:val="20"/>
      <w:lang w:eastAsia="fr-FR"/>
    </w:rPr>
  </w:style>
  <w:style w:type="character" w:customStyle="1" w:styleId="Titre9Car">
    <w:name w:val="Titre 9 Car"/>
    <w:link w:val="Titre9"/>
    <w:uiPriority w:val="99"/>
    <w:locked/>
    <w:rsid w:val="003E0564"/>
    <w:rPr>
      <w:rFonts w:ascii="Dutch" w:hAnsi="Dutch" w:cs="Dutch"/>
      <w:b/>
      <w:bCs/>
      <w:i/>
      <w:iCs/>
      <w:sz w:val="20"/>
      <w:szCs w:val="20"/>
      <w:lang w:eastAsia="fr-FR"/>
    </w:rPr>
  </w:style>
  <w:style w:type="paragraph" w:styleId="Textedebulles">
    <w:name w:val="Balloon Text"/>
    <w:basedOn w:val="Normal"/>
    <w:link w:val="TextedebullesCar"/>
    <w:uiPriority w:val="99"/>
    <w:semiHidden/>
    <w:rsid w:val="003E0564"/>
    <w:rPr>
      <w:rFonts w:ascii="Tahoma" w:hAnsi="Tahoma" w:cs="Tahoma"/>
      <w:sz w:val="16"/>
      <w:szCs w:val="16"/>
    </w:rPr>
  </w:style>
  <w:style w:type="character" w:customStyle="1" w:styleId="TextedebullesCar">
    <w:name w:val="Texte de bulles Car"/>
    <w:link w:val="Textedebulles"/>
    <w:uiPriority w:val="99"/>
    <w:semiHidden/>
    <w:locked/>
    <w:rsid w:val="003E0564"/>
    <w:rPr>
      <w:rFonts w:ascii="Tahoma" w:hAnsi="Tahoma" w:cs="Tahoma"/>
      <w:sz w:val="16"/>
      <w:szCs w:val="16"/>
      <w:lang w:eastAsia="fr-FR"/>
    </w:rPr>
  </w:style>
  <w:style w:type="table" w:styleId="Grilledutableau">
    <w:name w:val="Table Grid"/>
    <w:basedOn w:val="TableauNormal"/>
    <w:uiPriority w:val="99"/>
    <w:rsid w:val="003E056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3">
    <w:name w:val="Body Text 3"/>
    <w:basedOn w:val="Normal"/>
    <w:link w:val="Corpsdetexte3Car"/>
    <w:uiPriority w:val="99"/>
    <w:rsid w:val="003E0564"/>
    <w:pPr>
      <w:jc w:val="center"/>
      <w:outlineLvl w:val="0"/>
    </w:pPr>
    <w:rPr>
      <w:rFonts w:ascii="Dutch" w:hAnsi="Dutch" w:cs="Dutch"/>
      <w:b/>
      <w:bCs/>
      <w:smallCaps/>
      <w:sz w:val="30"/>
      <w:szCs w:val="30"/>
    </w:rPr>
  </w:style>
  <w:style w:type="character" w:customStyle="1" w:styleId="Corpsdetexte3Car">
    <w:name w:val="Corps de texte 3 Car"/>
    <w:link w:val="Corpsdetexte3"/>
    <w:uiPriority w:val="99"/>
    <w:locked/>
    <w:rsid w:val="003E0564"/>
    <w:rPr>
      <w:rFonts w:ascii="Dutch" w:hAnsi="Dutch" w:cs="Dutch"/>
      <w:b/>
      <w:bCs/>
      <w:smallCaps/>
      <w:sz w:val="20"/>
      <w:szCs w:val="20"/>
      <w:lang w:eastAsia="fr-FR"/>
    </w:rPr>
  </w:style>
  <w:style w:type="paragraph" w:styleId="En-tte">
    <w:name w:val="header"/>
    <w:basedOn w:val="Normal"/>
    <w:link w:val="En-tteCar"/>
    <w:uiPriority w:val="99"/>
    <w:rsid w:val="003E0564"/>
    <w:pPr>
      <w:tabs>
        <w:tab w:val="center" w:pos="4536"/>
        <w:tab w:val="right" w:pos="9072"/>
      </w:tabs>
    </w:pPr>
  </w:style>
  <w:style w:type="character" w:customStyle="1" w:styleId="En-tteCar">
    <w:name w:val="En-tête Car"/>
    <w:link w:val="En-tte"/>
    <w:uiPriority w:val="99"/>
    <w:locked/>
    <w:rsid w:val="003E0564"/>
    <w:rPr>
      <w:rFonts w:ascii="Times New Roman" w:hAnsi="Times New Roman" w:cs="Times New Roman"/>
      <w:sz w:val="24"/>
      <w:szCs w:val="24"/>
      <w:lang w:eastAsia="fr-FR"/>
    </w:rPr>
  </w:style>
  <w:style w:type="paragraph" w:styleId="Pieddepage">
    <w:name w:val="footer"/>
    <w:basedOn w:val="Normal"/>
    <w:link w:val="PieddepageCar"/>
    <w:uiPriority w:val="99"/>
    <w:rsid w:val="003E0564"/>
    <w:pPr>
      <w:tabs>
        <w:tab w:val="center" w:pos="4536"/>
        <w:tab w:val="right" w:pos="9072"/>
      </w:tabs>
    </w:pPr>
  </w:style>
  <w:style w:type="character" w:customStyle="1" w:styleId="PieddepageCar">
    <w:name w:val="Pied de page Car"/>
    <w:link w:val="Pieddepage"/>
    <w:uiPriority w:val="99"/>
    <w:locked/>
    <w:rsid w:val="003E0564"/>
    <w:rPr>
      <w:rFonts w:ascii="Times New Roman" w:hAnsi="Times New Roman" w:cs="Times New Roman"/>
      <w:sz w:val="24"/>
      <w:szCs w:val="24"/>
      <w:lang w:eastAsia="fr-FR"/>
    </w:rPr>
  </w:style>
  <w:style w:type="character" w:styleId="Numrodepage">
    <w:name w:val="page number"/>
    <w:basedOn w:val="Policepardfaut"/>
    <w:uiPriority w:val="99"/>
    <w:rsid w:val="003E0564"/>
  </w:style>
  <w:style w:type="paragraph" w:styleId="Corpsdetexte">
    <w:name w:val="Body Text"/>
    <w:basedOn w:val="Normal"/>
    <w:link w:val="CorpsdetexteCar"/>
    <w:uiPriority w:val="99"/>
    <w:rsid w:val="003E0564"/>
    <w:pPr>
      <w:spacing w:after="120"/>
    </w:pPr>
  </w:style>
  <w:style w:type="character" w:customStyle="1" w:styleId="CorpsdetexteCar">
    <w:name w:val="Corps de texte Car"/>
    <w:link w:val="Corpsdetexte"/>
    <w:uiPriority w:val="99"/>
    <w:locked/>
    <w:rsid w:val="003E0564"/>
    <w:rPr>
      <w:rFonts w:ascii="Times New Roman" w:hAnsi="Times New Roman" w:cs="Times New Roman"/>
      <w:sz w:val="24"/>
      <w:szCs w:val="24"/>
      <w:lang w:eastAsia="fr-FR"/>
    </w:rPr>
  </w:style>
  <w:style w:type="character" w:styleId="Lienhypertexte">
    <w:name w:val="Hyperlink"/>
    <w:uiPriority w:val="99"/>
    <w:rsid w:val="003E0564"/>
    <w:rPr>
      <w:color w:val="0000FF"/>
      <w:u w:val="single"/>
    </w:rPr>
  </w:style>
  <w:style w:type="paragraph" w:customStyle="1" w:styleId="Paragraphedeliste1">
    <w:name w:val="Paragraphe de liste1"/>
    <w:basedOn w:val="Normal"/>
    <w:uiPriority w:val="99"/>
    <w:qFormat/>
    <w:rsid w:val="003E0564"/>
    <w:pPr>
      <w:ind w:left="720"/>
      <w:jc w:val="both"/>
    </w:pPr>
    <w:rPr>
      <w:sz w:val="22"/>
      <w:szCs w:val="22"/>
      <w:lang w:val="en-GB" w:eastAsia="en-US"/>
    </w:rPr>
  </w:style>
  <w:style w:type="paragraph" w:styleId="Paragraphedeliste">
    <w:name w:val="List Paragraph"/>
    <w:basedOn w:val="Normal"/>
    <w:uiPriority w:val="34"/>
    <w:qFormat/>
    <w:rsid w:val="003E0564"/>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4386177">
      <w:marLeft w:val="0"/>
      <w:marRight w:val="0"/>
      <w:marTop w:val="0"/>
      <w:marBottom w:val="0"/>
      <w:divBdr>
        <w:top w:val="none" w:sz="0" w:space="0" w:color="auto"/>
        <w:left w:val="none" w:sz="0" w:space="0" w:color="auto"/>
        <w:bottom w:val="none" w:sz="0" w:space="0" w:color="auto"/>
        <w:right w:val="none" w:sz="0" w:space="0" w:color="auto"/>
      </w:divBdr>
    </w:div>
    <w:div w:id="924386178">
      <w:marLeft w:val="0"/>
      <w:marRight w:val="0"/>
      <w:marTop w:val="0"/>
      <w:marBottom w:val="0"/>
      <w:divBdr>
        <w:top w:val="none" w:sz="0" w:space="0" w:color="auto"/>
        <w:left w:val="none" w:sz="0" w:space="0" w:color="auto"/>
        <w:bottom w:val="none" w:sz="0" w:space="0" w:color="auto"/>
        <w:right w:val="none" w:sz="0" w:space="0" w:color="auto"/>
      </w:divBdr>
    </w:div>
    <w:div w:id="924386179">
      <w:marLeft w:val="0"/>
      <w:marRight w:val="0"/>
      <w:marTop w:val="0"/>
      <w:marBottom w:val="0"/>
      <w:divBdr>
        <w:top w:val="none" w:sz="0" w:space="0" w:color="auto"/>
        <w:left w:val="none" w:sz="0" w:space="0" w:color="auto"/>
        <w:bottom w:val="none" w:sz="0" w:space="0" w:color="auto"/>
        <w:right w:val="none" w:sz="0" w:space="0" w:color="auto"/>
      </w:divBdr>
    </w:div>
    <w:div w:id="924386180">
      <w:marLeft w:val="0"/>
      <w:marRight w:val="0"/>
      <w:marTop w:val="0"/>
      <w:marBottom w:val="0"/>
      <w:divBdr>
        <w:top w:val="none" w:sz="0" w:space="0" w:color="auto"/>
        <w:left w:val="none" w:sz="0" w:space="0" w:color="auto"/>
        <w:bottom w:val="none" w:sz="0" w:space="0" w:color="auto"/>
        <w:right w:val="none" w:sz="0" w:space="0" w:color="auto"/>
      </w:divBdr>
    </w:div>
    <w:div w:id="194421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EB47C-1AFD-4BC8-88DC-49AA5D58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5879</Words>
  <Characters>32338</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
    </vt:vector>
  </TitlesOfParts>
  <Company>CR PACA</Company>
  <LinksUpToDate>false</LinksUpToDate>
  <CharactersWithSpaces>38141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D'ANGELIS Fabienne</dc:creator>
  <cp:lastModifiedBy>Renaud</cp:lastModifiedBy>
  <cp:revision>2</cp:revision>
  <cp:lastPrinted>2014-01-11T14:46:00Z</cp:lastPrinted>
  <dcterms:created xsi:type="dcterms:W3CDTF">2014-02-03T13:54:00Z</dcterms:created>
  <dcterms:modified xsi:type="dcterms:W3CDTF">2014-02-03T13:54:00Z</dcterms:modified>
</cp:coreProperties>
</file>